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D6DC3">
      <w:pP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w:t>
      </w:r>
    </w:p>
    <w:p w14:paraId="03F3F00B">
      <w:pPr>
        <w:rPr>
          <w:rFonts w:hint="default" w:ascii="Times New Roman" w:hAnsi="Times New Roman" w:eastAsia="黑体" w:cs="Times New Roman"/>
          <w:i w:val="0"/>
          <w:iCs w:val="0"/>
          <w:color w:val="000000"/>
          <w:kern w:val="0"/>
          <w:sz w:val="36"/>
          <w:szCs w:val="36"/>
          <w:u w:val="none"/>
          <w:lang w:val="en-US" w:eastAsia="zh-CN" w:bidi="ar"/>
        </w:rPr>
      </w:pPr>
    </w:p>
    <w:p w14:paraId="13F42C30">
      <w:pPr>
        <w:jc w:val="center"/>
        <w:rPr>
          <w:rFonts w:hint="default" w:ascii="Times New Roman" w:hAnsi="Times New Roman" w:eastAsia="方正小标宋_GBK" w:cs="Times New Roman"/>
          <w:i w:val="0"/>
          <w:iCs w:val="0"/>
          <w:color w:val="000000"/>
          <w:kern w:val="0"/>
          <w:sz w:val="44"/>
          <w:szCs w:val="44"/>
          <w:u w:val="none"/>
          <w:lang w:val="en-US" w:eastAsia="zh-CN" w:bidi="ar"/>
        </w:rPr>
      </w:pPr>
      <w:bookmarkStart w:id="0" w:name="_GoBack"/>
      <w:r>
        <w:rPr>
          <w:rFonts w:hint="default" w:ascii="Times New Roman" w:hAnsi="Times New Roman" w:eastAsia="方正小标宋_GBK" w:cs="Times New Roman"/>
          <w:i w:val="0"/>
          <w:iCs w:val="0"/>
          <w:color w:val="000000"/>
          <w:kern w:val="0"/>
          <w:sz w:val="44"/>
          <w:szCs w:val="44"/>
          <w:u w:val="none"/>
          <w:lang w:val="en-US" w:eastAsia="zh-CN" w:bidi="ar"/>
        </w:rPr>
        <w:t>四川省高速公路服务质量考评细则</w:t>
      </w:r>
      <w:bookmarkEnd w:id="0"/>
    </w:p>
    <w:tbl>
      <w:tblPr>
        <w:tblStyle w:val="7"/>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28"/>
        <w:gridCol w:w="8500"/>
        <w:gridCol w:w="1083"/>
        <w:gridCol w:w="1252"/>
      </w:tblGrid>
      <w:tr w14:paraId="1BB6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473" w:type="dxa"/>
            <w:gridSpan w:val="3"/>
            <w:tcBorders>
              <w:top w:val="nil"/>
              <w:left w:val="nil"/>
              <w:right w:val="nil"/>
            </w:tcBorders>
            <w:noWrap w:val="0"/>
            <w:tcMar>
              <w:top w:w="0" w:type="dxa"/>
              <w:left w:w="51" w:type="dxa"/>
              <w:bottom w:w="0" w:type="dxa"/>
              <w:right w:w="51" w:type="dxa"/>
            </w:tcMar>
            <w:vAlign w:val="center"/>
          </w:tcPr>
          <w:p w14:paraId="277F84CD">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1.安全（40分）</w:t>
            </w:r>
          </w:p>
        </w:tc>
        <w:tc>
          <w:tcPr>
            <w:tcW w:w="1083" w:type="dxa"/>
            <w:tcBorders>
              <w:top w:val="nil"/>
              <w:left w:val="nil"/>
              <w:right w:val="nil"/>
            </w:tcBorders>
            <w:noWrap w:val="0"/>
            <w:tcMar>
              <w:top w:w="0" w:type="dxa"/>
              <w:left w:w="51" w:type="dxa"/>
              <w:bottom w:w="0" w:type="dxa"/>
              <w:right w:w="51" w:type="dxa"/>
            </w:tcMar>
            <w:vAlign w:val="center"/>
          </w:tcPr>
          <w:p w14:paraId="6C69249E">
            <w:pPr>
              <w:jc w:val="center"/>
              <w:rPr>
                <w:rFonts w:hint="default" w:ascii="Times New Roman" w:hAnsi="Times New Roman" w:eastAsia="宋体" w:cs="Times New Roman"/>
                <w:i w:val="0"/>
                <w:iCs w:val="0"/>
                <w:color w:val="000000"/>
                <w:sz w:val="24"/>
                <w:szCs w:val="24"/>
                <w:u w:val="none"/>
              </w:rPr>
            </w:pPr>
          </w:p>
        </w:tc>
        <w:tc>
          <w:tcPr>
            <w:tcW w:w="1252" w:type="dxa"/>
            <w:tcBorders>
              <w:top w:val="nil"/>
              <w:left w:val="nil"/>
              <w:right w:val="nil"/>
            </w:tcBorders>
            <w:noWrap w:val="0"/>
            <w:tcMar>
              <w:top w:w="0" w:type="dxa"/>
              <w:left w:w="51" w:type="dxa"/>
              <w:bottom w:w="0" w:type="dxa"/>
              <w:right w:w="51" w:type="dxa"/>
            </w:tcMar>
            <w:vAlign w:val="center"/>
          </w:tcPr>
          <w:p w14:paraId="44E16378">
            <w:pPr>
              <w:jc w:val="center"/>
              <w:rPr>
                <w:rFonts w:hint="default" w:ascii="Times New Roman" w:hAnsi="Times New Roman" w:eastAsia="宋体" w:cs="Times New Roman"/>
                <w:i w:val="0"/>
                <w:iCs w:val="0"/>
                <w:color w:val="000000"/>
                <w:sz w:val="24"/>
                <w:szCs w:val="24"/>
                <w:u w:val="none"/>
              </w:rPr>
            </w:pPr>
          </w:p>
        </w:tc>
      </w:tr>
      <w:tr w14:paraId="376D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245" w:type="dxa"/>
            <w:noWrap w:val="0"/>
            <w:tcMar>
              <w:top w:w="0" w:type="dxa"/>
              <w:left w:w="51" w:type="dxa"/>
              <w:bottom w:w="0" w:type="dxa"/>
              <w:right w:w="51" w:type="dxa"/>
            </w:tcMar>
            <w:vAlign w:val="center"/>
          </w:tcPr>
          <w:p w14:paraId="3B6F524F">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考评项目</w:t>
            </w:r>
          </w:p>
        </w:tc>
        <w:tc>
          <w:tcPr>
            <w:tcW w:w="1728" w:type="dxa"/>
            <w:noWrap w:val="0"/>
            <w:tcMar>
              <w:top w:w="0" w:type="dxa"/>
              <w:left w:w="51" w:type="dxa"/>
              <w:bottom w:w="0" w:type="dxa"/>
              <w:right w:w="51" w:type="dxa"/>
            </w:tcMar>
            <w:vAlign w:val="center"/>
          </w:tcPr>
          <w:p w14:paraId="08E480D1">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考评内容</w:t>
            </w:r>
          </w:p>
        </w:tc>
        <w:tc>
          <w:tcPr>
            <w:tcW w:w="8500" w:type="dxa"/>
            <w:noWrap w:val="0"/>
            <w:tcMar>
              <w:top w:w="0" w:type="dxa"/>
              <w:left w:w="51" w:type="dxa"/>
              <w:bottom w:w="0" w:type="dxa"/>
              <w:right w:w="51" w:type="dxa"/>
            </w:tcMar>
            <w:vAlign w:val="center"/>
          </w:tcPr>
          <w:p w14:paraId="21F46B0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评分标准</w:t>
            </w:r>
          </w:p>
        </w:tc>
        <w:tc>
          <w:tcPr>
            <w:tcW w:w="1083" w:type="dxa"/>
            <w:noWrap w:val="0"/>
            <w:tcMar>
              <w:top w:w="0" w:type="dxa"/>
              <w:left w:w="51" w:type="dxa"/>
              <w:bottom w:w="0" w:type="dxa"/>
              <w:right w:w="51" w:type="dxa"/>
            </w:tcMar>
            <w:vAlign w:val="center"/>
          </w:tcPr>
          <w:p w14:paraId="46367EE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考评依据</w:t>
            </w:r>
          </w:p>
        </w:tc>
        <w:tc>
          <w:tcPr>
            <w:tcW w:w="1252" w:type="dxa"/>
            <w:noWrap w:val="0"/>
            <w:tcMar>
              <w:top w:w="0" w:type="dxa"/>
              <w:left w:w="51" w:type="dxa"/>
              <w:bottom w:w="0" w:type="dxa"/>
              <w:right w:w="51" w:type="dxa"/>
            </w:tcMar>
            <w:vAlign w:val="center"/>
          </w:tcPr>
          <w:p w14:paraId="2B7D388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实施主体</w:t>
            </w:r>
          </w:p>
        </w:tc>
      </w:tr>
      <w:tr w14:paraId="037A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245" w:type="dxa"/>
            <w:noWrap w:val="0"/>
            <w:tcMar>
              <w:top w:w="0" w:type="dxa"/>
              <w:left w:w="51" w:type="dxa"/>
              <w:bottom w:w="0" w:type="dxa"/>
              <w:right w:w="51" w:type="dxa"/>
            </w:tcMar>
            <w:vAlign w:val="center"/>
          </w:tcPr>
          <w:p w14:paraId="161BF168">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1.1安全生产责任制</w:t>
            </w:r>
          </w:p>
        </w:tc>
        <w:tc>
          <w:tcPr>
            <w:tcW w:w="1728" w:type="dxa"/>
            <w:noWrap w:val="0"/>
            <w:tcMar>
              <w:top w:w="0" w:type="dxa"/>
              <w:left w:w="51" w:type="dxa"/>
              <w:bottom w:w="0" w:type="dxa"/>
              <w:right w:w="51" w:type="dxa"/>
            </w:tcMar>
            <w:vAlign w:val="center"/>
          </w:tcPr>
          <w:p w14:paraId="614F2AE7">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制定并落实全员安全生产责任制情况。</w:t>
            </w:r>
          </w:p>
        </w:tc>
        <w:tc>
          <w:tcPr>
            <w:tcW w:w="8500" w:type="dxa"/>
            <w:noWrap w:val="0"/>
            <w:tcMar>
              <w:top w:w="0" w:type="dxa"/>
              <w:left w:w="51" w:type="dxa"/>
              <w:bottom w:w="0" w:type="dxa"/>
              <w:right w:w="51" w:type="dxa"/>
            </w:tcMar>
            <w:vAlign w:val="center"/>
          </w:tcPr>
          <w:p w14:paraId="4F121E2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1.未制定全员安全生产岗位责任制的，扣1分；</w:t>
            </w:r>
          </w:p>
          <w:p w14:paraId="5E13F57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2.未按安全生产岗位责任制要求履职的，扣0.5分；</w:t>
            </w:r>
          </w:p>
          <w:p w14:paraId="39423E1E">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3.未按要求开展安全生产考核工作，扣0.5分。</w:t>
            </w:r>
          </w:p>
        </w:tc>
        <w:tc>
          <w:tcPr>
            <w:tcW w:w="1083" w:type="dxa"/>
            <w:noWrap w:val="0"/>
            <w:tcMar>
              <w:top w:w="0" w:type="dxa"/>
              <w:left w:w="51" w:type="dxa"/>
              <w:bottom w:w="0" w:type="dxa"/>
              <w:right w:w="51" w:type="dxa"/>
            </w:tcMar>
            <w:vAlign w:val="center"/>
          </w:tcPr>
          <w:p w14:paraId="7DCD46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6F58F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1807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45" w:type="dxa"/>
            <w:noWrap w:val="0"/>
            <w:tcMar>
              <w:top w:w="0" w:type="dxa"/>
              <w:left w:w="51" w:type="dxa"/>
              <w:bottom w:w="0" w:type="dxa"/>
              <w:right w:w="51" w:type="dxa"/>
            </w:tcMar>
            <w:vAlign w:val="center"/>
          </w:tcPr>
          <w:p w14:paraId="44FEC087">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1.2安全生产管理制度</w:t>
            </w:r>
          </w:p>
        </w:tc>
        <w:tc>
          <w:tcPr>
            <w:tcW w:w="1728" w:type="dxa"/>
            <w:noWrap w:val="0"/>
            <w:tcMar>
              <w:top w:w="0" w:type="dxa"/>
              <w:left w:w="51" w:type="dxa"/>
              <w:bottom w:w="0" w:type="dxa"/>
              <w:right w:w="51" w:type="dxa"/>
            </w:tcMar>
            <w:vAlign w:val="center"/>
          </w:tcPr>
          <w:p w14:paraId="2F8ACD28">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制定并落实安全生产制度情况。</w:t>
            </w:r>
          </w:p>
        </w:tc>
        <w:tc>
          <w:tcPr>
            <w:tcW w:w="8500" w:type="dxa"/>
            <w:noWrap w:val="0"/>
            <w:tcMar>
              <w:top w:w="0" w:type="dxa"/>
              <w:left w:w="51" w:type="dxa"/>
              <w:bottom w:w="0" w:type="dxa"/>
              <w:right w:w="51" w:type="dxa"/>
            </w:tcMar>
            <w:vAlign w:val="center"/>
          </w:tcPr>
          <w:p w14:paraId="5B6F640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1.未制定本单位安全生产资金投入、安全生产例会、风险分级管控、隐患排查治理、作业安全管理、安全生产检查、应急预案管理、生产安全事故报告等规章制度的，扣0.2分/项；</w:t>
            </w:r>
          </w:p>
          <w:p w14:paraId="6292378B">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2.未落实上述安全生产规章制度要求的，扣0.1分/（项</w:t>
            </w:r>
            <w:r>
              <w:rPr>
                <w:rFonts w:hint="default" w:ascii="Times New Roman" w:hAnsi="Times New Roman" w:eastAsia="仿宋_GB2312" w:cs="Times New Roman"/>
                <w:color w:val="000000"/>
                <w:sz w:val="20"/>
                <w:szCs w:val="20"/>
                <w:u w:val="none"/>
                <w:lang w:val="en-US" w:eastAsia="zh-CN" w:bidi="ar"/>
              </w:rPr>
              <w:t>·次）。</w:t>
            </w:r>
          </w:p>
        </w:tc>
        <w:tc>
          <w:tcPr>
            <w:tcW w:w="1083" w:type="dxa"/>
            <w:noWrap w:val="0"/>
            <w:tcMar>
              <w:top w:w="0" w:type="dxa"/>
              <w:left w:w="51" w:type="dxa"/>
              <w:bottom w:w="0" w:type="dxa"/>
              <w:right w:w="51" w:type="dxa"/>
            </w:tcMar>
            <w:vAlign w:val="center"/>
          </w:tcPr>
          <w:p w14:paraId="1B2B0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08537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4882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1245" w:type="dxa"/>
            <w:noWrap w:val="0"/>
            <w:tcMar>
              <w:top w:w="0" w:type="dxa"/>
              <w:left w:w="51" w:type="dxa"/>
              <w:bottom w:w="0" w:type="dxa"/>
              <w:right w:w="51" w:type="dxa"/>
            </w:tcMar>
            <w:vAlign w:val="center"/>
          </w:tcPr>
          <w:p w14:paraId="51EC9C9B">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1.3安全风险防控</w:t>
            </w:r>
          </w:p>
        </w:tc>
        <w:tc>
          <w:tcPr>
            <w:tcW w:w="1728" w:type="dxa"/>
            <w:noWrap w:val="0"/>
            <w:tcMar>
              <w:top w:w="0" w:type="dxa"/>
              <w:left w:w="51" w:type="dxa"/>
              <w:bottom w:w="0" w:type="dxa"/>
              <w:right w:w="51" w:type="dxa"/>
            </w:tcMar>
            <w:vAlign w:val="center"/>
          </w:tcPr>
          <w:p w14:paraId="7785ECB5">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开展安全风险辨识、评估、分级防控工作情况。</w:t>
            </w:r>
          </w:p>
        </w:tc>
        <w:tc>
          <w:tcPr>
            <w:tcW w:w="8500" w:type="dxa"/>
            <w:noWrap w:val="0"/>
            <w:tcMar>
              <w:top w:w="0" w:type="dxa"/>
              <w:left w:w="51" w:type="dxa"/>
              <w:bottom w:w="0" w:type="dxa"/>
              <w:right w:w="51" w:type="dxa"/>
            </w:tcMar>
            <w:vAlign w:val="center"/>
          </w:tcPr>
          <w:p w14:paraId="0A7E43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1.未按开展风险辨识的，扣1分；风险评估范围不全面或针对性不足的，扣0.2分/次；</w:t>
            </w:r>
          </w:p>
          <w:p w14:paraId="03D1282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2.未按“四川省公路水路交通行业重大安全风险及防控要点”,进行辨识防控的，扣0.5分/项；未逐点明确并落实较大及以上风险防范管控措施的，扣0.2分/项；</w:t>
            </w:r>
          </w:p>
          <w:p w14:paraId="367A991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3.未对安全风险进行图斑化管理的，扣1分；</w:t>
            </w:r>
          </w:p>
          <w:p w14:paraId="150DA031">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4.未将安全风险及防控措施告知一线从业人员的，扣0.2分。</w:t>
            </w:r>
          </w:p>
        </w:tc>
        <w:tc>
          <w:tcPr>
            <w:tcW w:w="1083" w:type="dxa"/>
            <w:noWrap w:val="0"/>
            <w:tcMar>
              <w:top w:w="0" w:type="dxa"/>
              <w:left w:w="51" w:type="dxa"/>
              <w:bottom w:w="0" w:type="dxa"/>
              <w:right w:w="51" w:type="dxa"/>
            </w:tcMar>
            <w:vAlign w:val="center"/>
          </w:tcPr>
          <w:p w14:paraId="006CB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4EE4DD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4E7D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1245" w:type="dxa"/>
            <w:noWrap w:val="0"/>
            <w:tcMar>
              <w:top w:w="0" w:type="dxa"/>
              <w:left w:w="51" w:type="dxa"/>
              <w:bottom w:w="0" w:type="dxa"/>
              <w:right w:w="51" w:type="dxa"/>
            </w:tcMar>
            <w:vAlign w:val="center"/>
          </w:tcPr>
          <w:p w14:paraId="3AE0A894">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1.4安全隐患排查治理</w:t>
            </w:r>
          </w:p>
        </w:tc>
        <w:tc>
          <w:tcPr>
            <w:tcW w:w="1728" w:type="dxa"/>
            <w:noWrap w:val="0"/>
            <w:tcMar>
              <w:top w:w="0" w:type="dxa"/>
              <w:left w:w="51" w:type="dxa"/>
              <w:bottom w:w="0" w:type="dxa"/>
              <w:right w:w="51" w:type="dxa"/>
            </w:tcMar>
            <w:vAlign w:val="center"/>
          </w:tcPr>
          <w:p w14:paraId="652AECD8">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开展安全隐患排查，建立排查记录和安全隐患台账，按隐患治理“五落实”要求，实现隐患整治闭环情况。</w:t>
            </w:r>
          </w:p>
        </w:tc>
        <w:tc>
          <w:tcPr>
            <w:tcW w:w="8500" w:type="dxa"/>
            <w:noWrap w:val="0"/>
            <w:tcMar>
              <w:top w:w="0" w:type="dxa"/>
              <w:left w:w="51" w:type="dxa"/>
              <w:bottom w:w="0" w:type="dxa"/>
              <w:right w:w="51" w:type="dxa"/>
            </w:tcMar>
            <w:vAlign w:val="center"/>
          </w:tcPr>
          <w:p w14:paraId="2D27EBE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1.未按公司自身制度和行业监管部门要求，开展日常和专项安全隐患排查工作的，扣1分；</w:t>
            </w:r>
          </w:p>
          <w:p w14:paraId="5B18BC0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2.未将发现的安全隐患纳入隐患一本台账管理或隐患闭环不及时的，扣0.1分/项；未对不能立即整改的安全隐患明确落实“整改措施、责任部门、整改资金、整改时限、应急措施”的，扣0.2分/次；</w:t>
            </w:r>
          </w:p>
          <w:p w14:paraId="086077F3">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3.未及时对行业检查发现的安全隐患整改闭环的，扣0.3分/项；未及时将发现的重大事故隐患上报的，扣1分/项。</w:t>
            </w:r>
          </w:p>
        </w:tc>
        <w:tc>
          <w:tcPr>
            <w:tcW w:w="1083" w:type="dxa"/>
            <w:noWrap w:val="0"/>
            <w:tcMar>
              <w:top w:w="0" w:type="dxa"/>
              <w:left w:w="51" w:type="dxa"/>
              <w:bottom w:w="0" w:type="dxa"/>
              <w:right w:w="51" w:type="dxa"/>
            </w:tcMar>
            <w:vAlign w:val="center"/>
          </w:tcPr>
          <w:p w14:paraId="3F160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04C31D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62EA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1245" w:type="dxa"/>
            <w:noWrap w:val="0"/>
            <w:tcMar>
              <w:top w:w="0" w:type="dxa"/>
              <w:left w:w="51" w:type="dxa"/>
              <w:bottom w:w="0" w:type="dxa"/>
              <w:right w:w="51" w:type="dxa"/>
            </w:tcMar>
            <w:vAlign w:val="center"/>
          </w:tcPr>
          <w:p w14:paraId="1B80C3BF">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1.5道路设施技术状况</w:t>
            </w:r>
          </w:p>
        </w:tc>
        <w:tc>
          <w:tcPr>
            <w:tcW w:w="1728" w:type="dxa"/>
            <w:noWrap w:val="0"/>
            <w:tcMar>
              <w:top w:w="0" w:type="dxa"/>
              <w:left w:w="51" w:type="dxa"/>
              <w:bottom w:w="0" w:type="dxa"/>
              <w:right w:w="51" w:type="dxa"/>
            </w:tcMar>
            <w:vAlign w:val="center"/>
          </w:tcPr>
          <w:p w14:paraId="788F41F6">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路基、路面、桥梁、隧道（含机电）、交安设施的技术状况良好，满足安全运营要求。</w:t>
            </w:r>
          </w:p>
        </w:tc>
        <w:tc>
          <w:tcPr>
            <w:tcW w:w="8500" w:type="dxa"/>
            <w:noWrap w:val="0"/>
            <w:tcMar>
              <w:top w:w="0" w:type="dxa"/>
              <w:left w:w="51" w:type="dxa"/>
              <w:bottom w:w="0" w:type="dxa"/>
              <w:right w:w="51" w:type="dxa"/>
            </w:tcMar>
            <w:vAlign w:val="center"/>
          </w:tcPr>
          <w:p w14:paraId="523E37F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1.未按规定频率开展日常巡查、经常检查、定期检查的，或巡查或检查记录明显失实的，扣0.1分/项；</w:t>
            </w:r>
          </w:p>
          <w:p w14:paraId="789E481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2.未按规定频率开展路基、路面、桥涵、隧道和交安等设施技术状况检测与评定的，扣1分/项；</w:t>
            </w:r>
          </w:p>
          <w:p w14:paraId="3FCE450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3.公司技术状况自查发现三类及以下桥隧的，扣0.2分/座；发现四、五类桥隧未在当年开展处治的，扣0.5分/座；发现路基、路面和交安设施出现次差等级的，扣0.1分/km。</w:t>
            </w:r>
          </w:p>
          <w:p w14:paraId="4AD7399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部省技术状况抽查发现连续5km及以上路况指数PQI小于90的路段，或RDI、PCI、RQI任一指标小于80、SRI小于75的路段，扣0.1分/km；发现重度跳车的，扣0.1分/处；发现四、五类桥隧的，扣1分/座；发现高边坡安全防控措施落实不到位的，扣0.5分/处；发现交安设施显性隐患的，扣0.1分/处；</w:t>
            </w:r>
          </w:p>
          <w:p w14:paraId="5B35EC7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5.部省抽查结果与公司自查结果存在明显差异，经核实公司自查结果存在问题的，扣2分；</w:t>
            </w:r>
          </w:p>
          <w:p w14:paraId="4738AA4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6.隧道机电技术状况4类扣2分/座，3类扣1分/座，3级分项扣0.2分/座；</w:t>
            </w:r>
          </w:p>
          <w:p w14:paraId="216BA024">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7.机电设施损坏且未实施整改的，扣0.2分/项。</w:t>
            </w:r>
          </w:p>
        </w:tc>
        <w:tc>
          <w:tcPr>
            <w:tcW w:w="1083" w:type="dxa"/>
            <w:noWrap w:val="0"/>
            <w:tcMar>
              <w:top w:w="0" w:type="dxa"/>
              <w:left w:w="51" w:type="dxa"/>
              <w:bottom w:w="0" w:type="dxa"/>
              <w:right w:w="51" w:type="dxa"/>
            </w:tcMar>
            <w:vAlign w:val="center"/>
          </w:tcPr>
          <w:p w14:paraId="05C4F314">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u w:val="none"/>
              </w:rPr>
            </w:pPr>
            <w:r>
              <w:rPr>
                <w:rFonts w:hint="eastAsia" w:ascii="Times New Roman" w:hAnsi="Times New Roman" w:eastAsia="仿宋_GB2312" w:cs="Times New Roman"/>
                <w:i w:val="0"/>
                <w:iCs w:val="0"/>
                <w:color w:val="auto"/>
                <w:kern w:val="0"/>
                <w:sz w:val="20"/>
                <w:szCs w:val="20"/>
                <w:u w:val="none"/>
                <w:lang w:val="en-US" w:eastAsia="zh-CN" w:bidi="ar"/>
              </w:rPr>
              <w:t>日常巡查</w:t>
            </w:r>
            <w:r>
              <w:rPr>
                <w:rFonts w:hint="default" w:ascii="Times New Roman" w:hAnsi="Times New Roman" w:eastAsia="仿宋_GB2312" w:cs="Times New Roman"/>
                <w:i w:val="0"/>
                <w:iCs w:val="0"/>
                <w:color w:val="auto"/>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3F90EA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kern w:val="0"/>
                <w:sz w:val="20"/>
                <w:szCs w:val="20"/>
                <w:u w:val="none"/>
                <w:lang w:val="en-US" w:eastAsia="zh-CN" w:bidi="ar"/>
              </w:rPr>
              <w:t>1、7项执法</w:t>
            </w:r>
            <w:r>
              <w:rPr>
                <w:rFonts w:hint="eastAsia" w:ascii="Times New Roman" w:hAnsi="Times New Roman" w:eastAsia="仿宋_GB2312" w:cs="Times New Roman"/>
                <w:i w:val="0"/>
                <w:iCs w:val="0"/>
                <w:color w:val="auto"/>
                <w:kern w:val="0"/>
                <w:sz w:val="20"/>
                <w:szCs w:val="20"/>
                <w:u w:val="none"/>
                <w:lang w:val="en-US" w:eastAsia="zh-CN" w:bidi="ar"/>
              </w:rPr>
              <w:t>大队</w:t>
            </w:r>
            <w:r>
              <w:rPr>
                <w:rFonts w:hint="default" w:ascii="Times New Roman" w:hAnsi="Times New Roman" w:eastAsia="仿宋_GB2312" w:cs="Times New Roman"/>
                <w:i w:val="0"/>
                <w:iCs w:val="0"/>
                <w:color w:val="auto"/>
                <w:kern w:val="0"/>
                <w:sz w:val="20"/>
                <w:szCs w:val="20"/>
                <w:u w:val="none"/>
                <w:lang w:val="en-US" w:eastAsia="zh-CN" w:bidi="ar"/>
              </w:rPr>
              <w:t>、2-6项执法总队</w:t>
            </w:r>
          </w:p>
        </w:tc>
      </w:tr>
      <w:tr w14:paraId="3305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45" w:type="dxa"/>
            <w:noWrap w:val="0"/>
            <w:tcMar>
              <w:top w:w="0" w:type="dxa"/>
              <w:left w:w="51" w:type="dxa"/>
              <w:bottom w:w="0" w:type="dxa"/>
              <w:right w:w="51" w:type="dxa"/>
            </w:tcMar>
            <w:vAlign w:val="center"/>
          </w:tcPr>
          <w:p w14:paraId="329765B6">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1.6工程建设交工</w:t>
            </w:r>
          </w:p>
        </w:tc>
        <w:tc>
          <w:tcPr>
            <w:tcW w:w="1728" w:type="dxa"/>
            <w:noWrap w:val="0"/>
            <w:tcMar>
              <w:top w:w="0" w:type="dxa"/>
              <w:left w:w="51" w:type="dxa"/>
              <w:bottom w:w="0" w:type="dxa"/>
              <w:right w:w="51" w:type="dxa"/>
            </w:tcMar>
            <w:vAlign w:val="center"/>
          </w:tcPr>
          <w:p w14:paraId="53298170">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机电、服务区等设施与主体工程同步建成投运。</w:t>
            </w:r>
          </w:p>
        </w:tc>
        <w:tc>
          <w:tcPr>
            <w:tcW w:w="8500" w:type="dxa"/>
            <w:noWrap w:val="0"/>
            <w:tcMar>
              <w:top w:w="0" w:type="dxa"/>
              <w:left w:w="51" w:type="dxa"/>
              <w:bottom w:w="0" w:type="dxa"/>
              <w:right w:w="51" w:type="dxa"/>
            </w:tcMar>
            <w:vAlign w:val="center"/>
          </w:tcPr>
          <w:p w14:paraId="6A2E200E">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1.机电未按时完成交工验收，服务区未按时建成投运的扣3分/项。</w:t>
            </w:r>
          </w:p>
        </w:tc>
        <w:tc>
          <w:tcPr>
            <w:tcW w:w="1083" w:type="dxa"/>
            <w:noWrap w:val="0"/>
            <w:tcMar>
              <w:top w:w="0" w:type="dxa"/>
              <w:left w:w="51" w:type="dxa"/>
              <w:bottom w:w="0" w:type="dxa"/>
              <w:right w:w="51" w:type="dxa"/>
            </w:tcMar>
            <w:vAlign w:val="center"/>
          </w:tcPr>
          <w:p w14:paraId="4A7C5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565524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6FFF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245" w:type="dxa"/>
            <w:noWrap w:val="0"/>
            <w:tcMar>
              <w:top w:w="0" w:type="dxa"/>
              <w:left w:w="51" w:type="dxa"/>
              <w:bottom w:w="0" w:type="dxa"/>
              <w:right w:w="51" w:type="dxa"/>
            </w:tcMar>
            <w:vAlign w:val="center"/>
          </w:tcPr>
          <w:p w14:paraId="1146BDC0">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1.7养护工程及日常养护管理</w:t>
            </w:r>
          </w:p>
        </w:tc>
        <w:tc>
          <w:tcPr>
            <w:tcW w:w="1728" w:type="dxa"/>
            <w:noWrap w:val="0"/>
            <w:tcMar>
              <w:top w:w="0" w:type="dxa"/>
              <w:left w:w="51" w:type="dxa"/>
              <w:bottom w:w="0" w:type="dxa"/>
              <w:right w:w="51" w:type="dxa"/>
            </w:tcMar>
            <w:vAlign w:val="center"/>
          </w:tcPr>
          <w:p w14:paraId="53E34D55">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养护工程计划制定、报备、施工、验收等环节及日常养护管理情况。</w:t>
            </w:r>
          </w:p>
        </w:tc>
        <w:tc>
          <w:tcPr>
            <w:tcW w:w="8500" w:type="dxa"/>
            <w:noWrap w:val="0"/>
            <w:tcMar>
              <w:top w:w="0" w:type="dxa"/>
              <w:left w:w="51" w:type="dxa"/>
              <w:bottom w:w="0" w:type="dxa"/>
              <w:right w:w="51" w:type="dxa"/>
            </w:tcMar>
            <w:vAlign w:val="center"/>
          </w:tcPr>
          <w:p w14:paraId="3E8303B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1.未根据技术状况评定结果、部省抽查结果和行业管理要求科学制定养护工程计划，扣1分/项；</w:t>
            </w:r>
          </w:p>
          <w:p w14:paraId="3D0AF5C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2.未按要求对年度养护计划在高速公路业务管理系统备案的，扣2分；</w:t>
            </w:r>
          </w:p>
          <w:p w14:paraId="4AE9DFB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3.未按备案的年度养护计划实施重点养护工程的，扣1分/项；</w:t>
            </w:r>
          </w:p>
          <w:p w14:paraId="2456809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4.未按要求办理养护施工许可或进行登记备案管理的，扣0.5分/项；</w:t>
            </w:r>
          </w:p>
          <w:p w14:paraId="161E99B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5.未按要求落实养护施工现场管理、停工撤场等工作，或施工作业现场管理存在突出问题的，扣0.1分/项；</w:t>
            </w:r>
          </w:p>
          <w:p w14:paraId="775CC9D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6.未在养护工程施工结束后组织验收或未在验收合格后及时将验收资料报执法大队的，扣0.2分/项；</w:t>
            </w:r>
          </w:p>
          <w:p w14:paraId="0823DDDB">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7.未按要求完成年度重点养护工程的，扣1分/项。</w:t>
            </w:r>
          </w:p>
        </w:tc>
        <w:tc>
          <w:tcPr>
            <w:tcW w:w="1083" w:type="dxa"/>
            <w:noWrap w:val="0"/>
            <w:tcMar>
              <w:top w:w="0" w:type="dxa"/>
              <w:left w:w="51" w:type="dxa"/>
              <w:bottom w:w="0" w:type="dxa"/>
              <w:right w:w="51" w:type="dxa"/>
            </w:tcMar>
            <w:vAlign w:val="center"/>
          </w:tcPr>
          <w:p w14:paraId="629221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日常巡查、书面评估结果</w:t>
            </w:r>
          </w:p>
        </w:tc>
        <w:tc>
          <w:tcPr>
            <w:tcW w:w="1252" w:type="dxa"/>
            <w:noWrap w:val="0"/>
            <w:tcMar>
              <w:top w:w="0" w:type="dxa"/>
              <w:left w:w="51" w:type="dxa"/>
              <w:bottom w:w="0" w:type="dxa"/>
              <w:right w:w="51" w:type="dxa"/>
            </w:tcMar>
            <w:vAlign w:val="center"/>
          </w:tcPr>
          <w:p w14:paraId="47D881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1、3项执法支队，</w:t>
            </w:r>
          </w:p>
          <w:p w14:paraId="1A0FCB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2、7项</w:t>
            </w:r>
          </w:p>
          <w:p w14:paraId="63ADA0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执法总队，</w:t>
            </w:r>
          </w:p>
          <w:p w14:paraId="2D7DB5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4、5、6项</w:t>
            </w:r>
          </w:p>
          <w:p w14:paraId="37F20C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17D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245" w:type="dxa"/>
            <w:noWrap w:val="0"/>
            <w:tcMar>
              <w:top w:w="0" w:type="dxa"/>
              <w:left w:w="51" w:type="dxa"/>
              <w:bottom w:w="0" w:type="dxa"/>
              <w:right w:w="51" w:type="dxa"/>
            </w:tcMar>
            <w:vAlign w:val="center"/>
          </w:tcPr>
          <w:p w14:paraId="544B8F69">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1.8生态环保及路域环境</w:t>
            </w:r>
          </w:p>
        </w:tc>
        <w:tc>
          <w:tcPr>
            <w:tcW w:w="1728" w:type="dxa"/>
            <w:noWrap w:val="0"/>
            <w:tcMar>
              <w:top w:w="0" w:type="dxa"/>
              <w:left w:w="51" w:type="dxa"/>
              <w:bottom w:w="0" w:type="dxa"/>
              <w:right w:w="51" w:type="dxa"/>
            </w:tcMar>
            <w:vAlign w:val="center"/>
          </w:tcPr>
          <w:p w14:paraId="1FAE7091">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噪声污染防治、敏感区域水体质量保护及路域环境卫生情况。</w:t>
            </w:r>
          </w:p>
        </w:tc>
        <w:tc>
          <w:tcPr>
            <w:tcW w:w="8500" w:type="dxa"/>
            <w:noWrap w:val="0"/>
            <w:tcMar>
              <w:top w:w="0" w:type="dxa"/>
              <w:left w:w="51" w:type="dxa"/>
              <w:bottom w:w="0" w:type="dxa"/>
              <w:right w:w="51" w:type="dxa"/>
            </w:tcMar>
            <w:vAlign w:val="center"/>
          </w:tcPr>
          <w:p w14:paraId="331C3DA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1.噪声超标路段未按要求采取隔音屏障等降噪防治措施的，扣0.5分/处；</w:t>
            </w:r>
          </w:p>
          <w:p w14:paraId="1548C19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2.未按要求在受保护水体设置径流系统和施的，扣2分/座；系统设施不能正常使用的，扣0.5分/座；</w:t>
            </w:r>
          </w:p>
          <w:p w14:paraId="2E7693B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3.高速公路用地范围内的垃圾杂物和污染物未按要求及时清理的，扣0.2分/处；</w:t>
            </w:r>
          </w:p>
          <w:p w14:paraId="079DAC2B">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4.服务区未按要求配置污水处理设施或污水排放不达标的扣1分；未按要求开展污水处理设施巡查、维修保养的，扣0.2分。</w:t>
            </w:r>
          </w:p>
        </w:tc>
        <w:tc>
          <w:tcPr>
            <w:tcW w:w="1083" w:type="dxa"/>
            <w:noWrap w:val="0"/>
            <w:tcMar>
              <w:top w:w="0" w:type="dxa"/>
              <w:left w:w="51" w:type="dxa"/>
              <w:bottom w:w="0" w:type="dxa"/>
              <w:right w:w="51" w:type="dxa"/>
            </w:tcMar>
            <w:vAlign w:val="center"/>
          </w:tcPr>
          <w:p w14:paraId="5A7208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32D22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7EB6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245" w:type="dxa"/>
            <w:noWrap w:val="0"/>
            <w:tcMar>
              <w:top w:w="0" w:type="dxa"/>
              <w:left w:w="51" w:type="dxa"/>
              <w:bottom w:w="0" w:type="dxa"/>
              <w:right w:w="51" w:type="dxa"/>
            </w:tcMar>
            <w:vAlign w:val="center"/>
          </w:tcPr>
          <w:p w14:paraId="1215A5A2">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1.9服务区安全管理</w:t>
            </w:r>
          </w:p>
        </w:tc>
        <w:tc>
          <w:tcPr>
            <w:tcW w:w="1728" w:type="dxa"/>
            <w:noWrap w:val="0"/>
            <w:tcMar>
              <w:top w:w="0" w:type="dxa"/>
              <w:left w:w="51" w:type="dxa"/>
              <w:bottom w:w="0" w:type="dxa"/>
              <w:right w:w="51" w:type="dxa"/>
            </w:tcMar>
            <w:vAlign w:val="center"/>
          </w:tcPr>
          <w:p w14:paraId="6D8318BD">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服务区危货运输车辆停车位设置和管理</w:t>
            </w:r>
          </w:p>
        </w:tc>
        <w:tc>
          <w:tcPr>
            <w:tcW w:w="8500" w:type="dxa"/>
            <w:noWrap w:val="0"/>
            <w:tcMar>
              <w:top w:w="0" w:type="dxa"/>
              <w:left w:w="51" w:type="dxa"/>
              <w:bottom w:w="0" w:type="dxa"/>
              <w:right w:w="51" w:type="dxa"/>
            </w:tcMar>
            <w:vAlign w:val="center"/>
          </w:tcPr>
          <w:p w14:paraId="15BB73F5">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1.服务区未按要求设置危货运输车辆停车位，未依据公司职责开展秩序维护、劝导、报告、登记等停放管理工作的，扣1分/项。</w:t>
            </w:r>
          </w:p>
        </w:tc>
        <w:tc>
          <w:tcPr>
            <w:tcW w:w="1083" w:type="dxa"/>
            <w:noWrap w:val="0"/>
            <w:tcMar>
              <w:top w:w="0" w:type="dxa"/>
              <w:left w:w="51" w:type="dxa"/>
              <w:bottom w:w="0" w:type="dxa"/>
              <w:right w:w="51" w:type="dxa"/>
            </w:tcMar>
            <w:vAlign w:val="center"/>
          </w:tcPr>
          <w:p w14:paraId="643A5C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0C6F50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3A4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1245" w:type="dxa"/>
            <w:noWrap w:val="0"/>
            <w:tcMar>
              <w:top w:w="0" w:type="dxa"/>
              <w:left w:w="51" w:type="dxa"/>
              <w:bottom w:w="0" w:type="dxa"/>
              <w:right w:w="51" w:type="dxa"/>
            </w:tcMar>
            <w:vAlign w:val="center"/>
          </w:tcPr>
          <w:p w14:paraId="0B4CE4A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1.10应急处置管理</w:t>
            </w:r>
          </w:p>
        </w:tc>
        <w:tc>
          <w:tcPr>
            <w:tcW w:w="1728" w:type="dxa"/>
            <w:noWrap w:val="0"/>
            <w:tcMar>
              <w:top w:w="0" w:type="dxa"/>
              <w:left w:w="51" w:type="dxa"/>
              <w:bottom w:w="0" w:type="dxa"/>
              <w:right w:w="51" w:type="dxa"/>
            </w:tcMar>
            <w:vAlign w:val="center"/>
          </w:tcPr>
          <w:p w14:paraId="4F82A7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应急预案编制、应急力量准备、应急演练、应急处置及信息报送情况。</w:t>
            </w:r>
          </w:p>
        </w:tc>
        <w:tc>
          <w:tcPr>
            <w:tcW w:w="8500" w:type="dxa"/>
            <w:noWrap w:val="0"/>
            <w:tcMar>
              <w:top w:w="0" w:type="dxa"/>
              <w:left w:w="51" w:type="dxa"/>
              <w:bottom w:w="0" w:type="dxa"/>
              <w:right w:w="51" w:type="dxa"/>
            </w:tcMar>
            <w:vAlign w:val="center"/>
          </w:tcPr>
          <w:p w14:paraId="4E3BAA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1.未按要求编制应急预案或未针对一线岗位制定应急处置明白卡的，扣1分/项；预案针对性不强，扣0.2分/项；</w:t>
            </w:r>
          </w:p>
          <w:p w14:paraId="2BC086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2.未按要求组建应急清障救援队伍、配备应急物资和应急救援机具的，扣0.5分/次；</w:t>
            </w:r>
          </w:p>
          <w:p w14:paraId="2E3501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3.未按要求组织应急演练的，扣0.5分/次；</w:t>
            </w:r>
          </w:p>
          <w:p w14:paraId="23CE4C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4.未及时将预警信息传递至基层一线的，或在接收到预警信息后未按要求落实响应措施的，扣0.1分/次；</w:t>
            </w:r>
          </w:p>
          <w:p w14:paraId="666DE2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5.在突发事件中，经调查应急处置不力的，扣0.5分/次；</w:t>
            </w:r>
          </w:p>
          <w:p w14:paraId="20976C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6.未按要求报送突发事件信息的，扣0.2分/项。</w:t>
            </w:r>
          </w:p>
        </w:tc>
        <w:tc>
          <w:tcPr>
            <w:tcW w:w="1083" w:type="dxa"/>
            <w:noWrap w:val="0"/>
            <w:tcMar>
              <w:top w:w="0" w:type="dxa"/>
              <w:left w:w="51" w:type="dxa"/>
              <w:bottom w:w="0" w:type="dxa"/>
              <w:right w:w="51" w:type="dxa"/>
            </w:tcMar>
            <w:vAlign w:val="center"/>
          </w:tcPr>
          <w:p w14:paraId="66851D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日常巡查、书面评估结果</w:t>
            </w:r>
          </w:p>
        </w:tc>
        <w:tc>
          <w:tcPr>
            <w:tcW w:w="1252" w:type="dxa"/>
            <w:noWrap w:val="0"/>
            <w:tcMar>
              <w:top w:w="0" w:type="dxa"/>
              <w:left w:w="51" w:type="dxa"/>
              <w:bottom w:w="0" w:type="dxa"/>
              <w:right w:w="51" w:type="dxa"/>
            </w:tcMar>
            <w:vAlign w:val="center"/>
          </w:tcPr>
          <w:p w14:paraId="0D0DAA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1、2、3、4、6项执法大队，5项执法支队</w:t>
            </w:r>
          </w:p>
        </w:tc>
      </w:tr>
      <w:tr w14:paraId="5518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245" w:type="dxa"/>
            <w:noWrap w:val="0"/>
            <w:tcMar>
              <w:top w:w="0" w:type="dxa"/>
              <w:left w:w="51" w:type="dxa"/>
              <w:bottom w:w="0" w:type="dxa"/>
              <w:right w:w="51" w:type="dxa"/>
            </w:tcMar>
            <w:vAlign w:val="center"/>
          </w:tcPr>
          <w:p w14:paraId="10526583">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1.11事故责任及处理</w:t>
            </w:r>
          </w:p>
        </w:tc>
        <w:tc>
          <w:tcPr>
            <w:tcW w:w="1728" w:type="dxa"/>
            <w:noWrap w:val="0"/>
            <w:tcMar>
              <w:top w:w="0" w:type="dxa"/>
              <w:left w:w="51" w:type="dxa"/>
              <w:bottom w:w="0" w:type="dxa"/>
              <w:right w:w="51" w:type="dxa"/>
            </w:tcMar>
            <w:vAlign w:val="center"/>
          </w:tcPr>
          <w:p w14:paraId="5F47855D">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不发生负源头责任的安全生产事故。</w:t>
            </w:r>
          </w:p>
        </w:tc>
        <w:tc>
          <w:tcPr>
            <w:tcW w:w="8500" w:type="dxa"/>
            <w:noWrap w:val="0"/>
            <w:tcMar>
              <w:top w:w="0" w:type="dxa"/>
              <w:left w:w="51" w:type="dxa"/>
              <w:bottom w:w="0" w:type="dxa"/>
              <w:right w:w="51" w:type="dxa"/>
            </w:tcMar>
            <w:vAlign w:val="center"/>
          </w:tcPr>
          <w:p w14:paraId="63DE17D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1、事故调查报告指出道路设施安全隐患是事故发生的直接原因、间接原因的，分别扣3分/次、2分/次； </w:t>
            </w:r>
          </w:p>
          <w:p w14:paraId="43E41DB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2、事故调查报告指出事故路段存在履职不到位等其它情况的，扣0.3分/次；</w:t>
            </w:r>
          </w:p>
          <w:p w14:paraId="31EC3E68">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3、行业监管部门对事故复盘分析发现公司安全管理存在问题的，扣0.2分/次。</w:t>
            </w:r>
          </w:p>
        </w:tc>
        <w:tc>
          <w:tcPr>
            <w:tcW w:w="1083" w:type="dxa"/>
            <w:noWrap w:val="0"/>
            <w:tcMar>
              <w:top w:w="0" w:type="dxa"/>
              <w:left w:w="51" w:type="dxa"/>
              <w:bottom w:w="0" w:type="dxa"/>
              <w:right w:w="51" w:type="dxa"/>
            </w:tcMar>
            <w:vAlign w:val="center"/>
          </w:tcPr>
          <w:p w14:paraId="627A41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072EA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061C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45" w:type="dxa"/>
            <w:noWrap w:val="0"/>
            <w:tcMar>
              <w:top w:w="0" w:type="dxa"/>
              <w:left w:w="51" w:type="dxa"/>
              <w:bottom w:w="0" w:type="dxa"/>
              <w:right w:w="51" w:type="dxa"/>
            </w:tcMar>
            <w:vAlign w:val="center"/>
          </w:tcPr>
          <w:p w14:paraId="53C01E6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1.12超限治理工作</w:t>
            </w:r>
          </w:p>
        </w:tc>
        <w:tc>
          <w:tcPr>
            <w:tcW w:w="1728" w:type="dxa"/>
            <w:noWrap w:val="0"/>
            <w:tcMar>
              <w:top w:w="0" w:type="dxa"/>
              <w:left w:w="51" w:type="dxa"/>
              <w:bottom w:w="0" w:type="dxa"/>
              <w:right w:w="51" w:type="dxa"/>
            </w:tcMar>
            <w:vAlign w:val="center"/>
          </w:tcPr>
          <w:p w14:paraId="479C9867">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按要求开展超限治理工作</w:t>
            </w:r>
          </w:p>
        </w:tc>
        <w:tc>
          <w:tcPr>
            <w:tcW w:w="8500" w:type="dxa"/>
            <w:noWrap w:val="0"/>
            <w:tcMar>
              <w:top w:w="0" w:type="dxa"/>
              <w:left w:w="51" w:type="dxa"/>
              <w:bottom w:w="0" w:type="dxa"/>
              <w:right w:w="51" w:type="dxa"/>
            </w:tcMar>
            <w:vAlign w:val="center"/>
          </w:tcPr>
          <w:p w14:paraId="47511E0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1.因超限治理相关设施设备维护管理不到位，连续3个月被通报的扣2分/项；</w:t>
            </w:r>
          </w:p>
          <w:p w14:paraId="4B2EE28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2.违规放行超限车辆驶入高速公路的扣3分/项次；</w:t>
            </w:r>
          </w:p>
          <w:p w14:paraId="4E50511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3.存在出口发现违法超限车辆未按规定及时报告的扣1分/项次。</w:t>
            </w:r>
          </w:p>
        </w:tc>
        <w:tc>
          <w:tcPr>
            <w:tcW w:w="1083" w:type="dxa"/>
            <w:noWrap w:val="0"/>
            <w:tcMar>
              <w:top w:w="0" w:type="dxa"/>
              <w:left w:w="51" w:type="dxa"/>
              <w:bottom w:w="0" w:type="dxa"/>
              <w:right w:w="51" w:type="dxa"/>
            </w:tcMar>
            <w:vAlign w:val="center"/>
          </w:tcPr>
          <w:p w14:paraId="1EB112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42CB8E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59BE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45" w:type="dxa"/>
            <w:tcBorders>
              <w:bottom w:val="single" w:color="auto" w:sz="4" w:space="0"/>
            </w:tcBorders>
            <w:noWrap w:val="0"/>
            <w:tcMar>
              <w:top w:w="0" w:type="dxa"/>
              <w:left w:w="51" w:type="dxa"/>
              <w:bottom w:w="0" w:type="dxa"/>
              <w:right w:w="51" w:type="dxa"/>
            </w:tcMar>
            <w:vAlign w:val="center"/>
          </w:tcPr>
          <w:p w14:paraId="592E38FD">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1.13通报约谈</w:t>
            </w:r>
          </w:p>
        </w:tc>
        <w:tc>
          <w:tcPr>
            <w:tcW w:w="1728" w:type="dxa"/>
            <w:tcBorders>
              <w:bottom w:val="single" w:color="auto" w:sz="4" w:space="0"/>
            </w:tcBorders>
            <w:noWrap w:val="0"/>
            <w:tcMar>
              <w:top w:w="0" w:type="dxa"/>
              <w:left w:w="51" w:type="dxa"/>
              <w:bottom w:w="0" w:type="dxa"/>
              <w:right w:w="51" w:type="dxa"/>
            </w:tcMar>
            <w:vAlign w:val="center"/>
          </w:tcPr>
          <w:p w14:paraId="3CF28EC5">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在安全及应急方面被部、厅、局等通报或约谈情况。</w:t>
            </w:r>
          </w:p>
        </w:tc>
        <w:tc>
          <w:tcPr>
            <w:tcW w:w="8500" w:type="dxa"/>
            <w:tcBorders>
              <w:bottom w:val="single" w:color="auto" w:sz="4" w:space="0"/>
            </w:tcBorders>
            <w:noWrap w:val="0"/>
            <w:tcMar>
              <w:top w:w="0" w:type="dxa"/>
              <w:left w:w="51" w:type="dxa"/>
              <w:bottom w:w="0" w:type="dxa"/>
              <w:right w:w="51" w:type="dxa"/>
            </w:tcMar>
            <w:vAlign w:val="center"/>
          </w:tcPr>
          <w:p w14:paraId="0FE34564">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1.因安全及应急方面原因，被部、厅、总队（局）通报或约谈的，分别扣5、3、2分/次。被发放整改通知书或提醒函的，分别扣0.3、0.2、0.1分/次。</w:t>
            </w:r>
          </w:p>
        </w:tc>
        <w:tc>
          <w:tcPr>
            <w:tcW w:w="1083" w:type="dxa"/>
            <w:tcBorders>
              <w:bottom w:val="single" w:color="auto" w:sz="4" w:space="0"/>
            </w:tcBorders>
            <w:noWrap w:val="0"/>
            <w:tcMar>
              <w:top w:w="0" w:type="dxa"/>
              <w:left w:w="51" w:type="dxa"/>
              <w:bottom w:w="0" w:type="dxa"/>
              <w:right w:w="51" w:type="dxa"/>
            </w:tcMar>
            <w:vAlign w:val="center"/>
          </w:tcPr>
          <w:p w14:paraId="43196F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tcBorders>
              <w:bottom w:val="single" w:color="auto" w:sz="4" w:space="0"/>
            </w:tcBorders>
            <w:noWrap w:val="0"/>
            <w:tcMar>
              <w:top w:w="0" w:type="dxa"/>
              <w:left w:w="51" w:type="dxa"/>
              <w:bottom w:w="0" w:type="dxa"/>
              <w:right w:w="51" w:type="dxa"/>
            </w:tcMar>
            <w:vAlign w:val="center"/>
          </w:tcPr>
          <w:p w14:paraId="4B6DCC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bl>
    <w:p w14:paraId="06FEE74A"/>
    <w:tbl>
      <w:tblPr>
        <w:tblStyle w:val="7"/>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28"/>
        <w:gridCol w:w="8500"/>
        <w:gridCol w:w="1083"/>
        <w:gridCol w:w="1252"/>
      </w:tblGrid>
      <w:tr w14:paraId="6862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473" w:type="dxa"/>
            <w:gridSpan w:val="3"/>
            <w:tcBorders>
              <w:top w:val="nil"/>
              <w:left w:val="nil"/>
              <w:right w:val="nil"/>
            </w:tcBorders>
            <w:noWrap w:val="0"/>
            <w:tcMar>
              <w:top w:w="0" w:type="dxa"/>
              <w:left w:w="51" w:type="dxa"/>
              <w:bottom w:w="0" w:type="dxa"/>
              <w:right w:w="51" w:type="dxa"/>
            </w:tcMar>
            <w:vAlign w:val="center"/>
          </w:tcPr>
          <w:p w14:paraId="5FCA5F4B">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2.运行（30分）</w:t>
            </w:r>
          </w:p>
        </w:tc>
        <w:tc>
          <w:tcPr>
            <w:tcW w:w="1083" w:type="dxa"/>
            <w:tcBorders>
              <w:top w:val="nil"/>
              <w:left w:val="nil"/>
              <w:right w:val="nil"/>
            </w:tcBorders>
            <w:noWrap w:val="0"/>
            <w:tcMar>
              <w:top w:w="0" w:type="dxa"/>
              <w:left w:w="51" w:type="dxa"/>
              <w:bottom w:w="0" w:type="dxa"/>
              <w:right w:w="51" w:type="dxa"/>
            </w:tcMar>
            <w:vAlign w:val="center"/>
          </w:tcPr>
          <w:p w14:paraId="039323F3">
            <w:pPr>
              <w:jc w:val="center"/>
              <w:rPr>
                <w:rFonts w:hint="default" w:ascii="Times New Roman" w:hAnsi="Times New Roman" w:eastAsia="宋体" w:cs="Times New Roman"/>
                <w:i w:val="0"/>
                <w:iCs w:val="0"/>
                <w:color w:val="000000"/>
                <w:sz w:val="24"/>
                <w:szCs w:val="24"/>
                <w:u w:val="none"/>
              </w:rPr>
            </w:pPr>
          </w:p>
        </w:tc>
        <w:tc>
          <w:tcPr>
            <w:tcW w:w="1252" w:type="dxa"/>
            <w:tcBorders>
              <w:top w:val="nil"/>
              <w:left w:val="nil"/>
              <w:right w:val="nil"/>
            </w:tcBorders>
            <w:noWrap w:val="0"/>
            <w:tcMar>
              <w:top w:w="0" w:type="dxa"/>
              <w:left w:w="51" w:type="dxa"/>
              <w:bottom w:w="0" w:type="dxa"/>
              <w:right w:w="51" w:type="dxa"/>
            </w:tcMar>
            <w:vAlign w:val="center"/>
          </w:tcPr>
          <w:p w14:paraId="1AA23456">
            <w:pPr>
              <w:jc w:val="center"/>
              <w:rPr>
                <w:rFonts w:hint="default" w:ascii="Times New Roman" w:hAnsi="Times New Roman" w:eastAsia="宋体" w:cs="Times New Roman"/>
                <w:i w:val="0"/>
                <w:iCs w:val="0"/>
                <w:color w:val="000000"/>
                <w:sz w:val="24"/>
                <w:szCs w:val="24"/>
                <w:u w:val="none"/>
              </w:rPr>
            </w:pPr>
          </w:p>
        </w:tc>
      </w:tr>
      <w:tr w14:paraId="414C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45" w:type="dxa"/>
            <w:noWrap w:val="0"/>
            <w:tcMar>
              <w:top w:w="0" w:type="dxa"/>
              <w:left w:w="51" w:type="dxa"/>
              <w:bottom w:w="0" w:type="dxa"/>
              <w:right w:w="51" w:type="dxa"/>
            </w:tcMar>
            <w:vAlign w:val="center"/>
          </w:tcPr>
          <w:p w14:paraId="2D17D15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考评项目</w:t>
            </w:r>
          </w:p>
        </w:tc>
        <w:tc>
          <w:tcPr>
            <w:tcW w:w="1728" w:type="dxa"/>
            <w:noWrap w:val="0"/>
            <w:tcMar>
              <w:top w:w="0" w:type="dxa"/>
              <w:left w:w="51" w:type="dxa"/>
              <w:bottom w:w="0" w:type="dxa"/>
              <w:right w:w="51" w:type="dxa"/>
            </w:tcMar>
            <w:vAlign w:val="center"/>
          </w:tcPr>
          <w:p w14:paraId="7AB1B49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考评内容</w:t>
            </w:r>
          </w:p>
        </w:tc>
        <w:tc>
          <w:tcPr>
            <w:tcW w:w="8500" w:type="dxa"/>
            <w:noWrap w:val="0"/>
            <w:tcMar>
              <w:top w:w="0" w:type="dxa"/>
              <w:left w:w="51" w:type="dxa"/>
              <w:bottom w:w="0" w:type="dxa"/>
              <w:right w:w="51" w:type="dxa"/>
            </w:tcMar>
            <w:vAlign w:val="center"/>
          </w:tcPr>
          <w:p w14:paraId="6CD26C9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评分标准</w:t>
            </w:r>
          </w:p>
        </w:tc>
        <w:tc>
          <w:tcPr>
            <w:tcW w:w="1083" w:type="dxa"/>
            <w:noWrap w:val="0"/>
            <w:tcMar>
              <w:top w:w="0" w:type="dxa"/>
              <w:left w:w="51" w:type="dxa"/>
              <w:bottom w:w="0" w:type="dxa"/>
              <w:right w:w="51" w:type="dxa"/>
            </w:tcMar>
            <w:vAlign w:val="center"/>
          </w:tcPr>
          <w:p w14:paraId="3DC90C50">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考评依据</w:t>
            </w:r>
          </w:p>
        </w:tc>
        <w:tc>
          <w:tcPr>
            <w:tcW w:w="1252" w:type="dxa"/>
            <w:noWrap w:val="0"/>
            <w:tcMar>
              <w:top w:w="0" w:type="dxa"/>
              <w:left w:w="51" w:type="dxa"/>
              <w:bottom w:w="0" w:type="dxa"/>
              <w:right w:w="51" w:type="dxa"/>
            </w:tcMar>
            <w:vAlign w:val="center"/>
          </w:tcPr>
          <w:p w14:paraId="5D904B00">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实施主体</w:t>
            </w:r>
          </w:p>
        </w:tc>
      </w:tr>
      <w:tr w14:paraId="1059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245" w:type="dxa"/>
            <w:noWrap w:val="0"/>
            <w:tcMar>
              <w:top w:w="0" w:type="dxa"/>
              <w:left w:w="51" w:type="dxa"/>
              <w:bottom w:w="0" w:type="dxa"/>
              <w:right w:w="51" w:type="dxa"/>
            </w:tcMar>
            <w:vAlign w:val="center"/>
          </w:tcPr>
          <w:p w14:paraId="753F181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2.1运行监测</w:t>
            </w:r>
          </w:p>
        </w:tc>
        <w:tc>
          <w:tcPr>
            <w:tcW w:w="1728" w:type="dxa"/>
            <w:noWrap w:val="0"/>
            <w:tcMar>
              <w:top w:w="0" w:type="dxa"/>
              <w:left w:w="51" w:type="dxa"/>
              <w:bottom w:w="0" w:type="dxa"/>
              <w:right w:w="51" w:type="dxa"/>
            </w:tcMar>
            <w:vAlign w:val="center"/>
          </w:tcPr>
          <w:p w14:paraId="2E79F46D">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机电系统运行情况</w:t>
            </w:r>
          </w:p>
        </w:tc>
        <w:tc>
          <w:tcPr>
            <w:tcW w:w="8500" w:type="dxa"/>
            <w:noWrap w:val="0"/>
            <w:tcMar>
              <w:top w:w="0" w:type="dxa"/>
              <w:left w:w="51" w:type="dxa"/>
              <w:bottom w:w="0" w:type="dxa"/>
              <w:right w:w="51" w:type="dxa"/>
            </w:tcMar>
            <w:vAlign w:val="center"/>
          </w:tcPr>
          <w:p w14:paraId="08F32FF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1.ETC通行成功率连续两个月低于99.5%扣1分/次；</w:t>
            </w:r>
          </w:p>
          <w:p w14:paraId="7192AB2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2.视频在线率低于90%扣1分/月；</w:t>
            </w:r>
          </w:p>
          <w:p w14:paraId="76AE65E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3.通信网络累计故障超过2次或累计中断时长超过4小时或衰耗超过设计值6dB（不可抗拒因素除外）扣1分/月。</w:t>
            </w:r>
          </w:p>
        </w:tc>
        <w:tc>
          <w:tcPr>
            <w:tcW w:w="1083" w:type="dxa"/>
            <w:noWrap w:val="0"/>
            <w:tcMar>
              <w:top w:w="0" w:type="dxa"/>
              <w:left w:w="51" w:type="dxa"/>
              <w:bottom w:w="0" w:type="dxa"/>
              <w:right w:w="51" w:type="dxa"/>
            </w:tcMar>
            <w:vAlign w:val="center"/>
          </w:tcPr>
          <w:p w14:paraId="3AE6A8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2C53A1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1E23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245" w:type="dxa"/>
            <w:noWrap w:val="0"/>
            <w:tcMar>
              <w:top w:w="0" w:type="dxa"/>
              <w:left w:w="51" w:type="dxa"/>
              <w:bottom w:w="0" w:type="dxa"/>
              <w:right w:w="51" w:type="dxa"/>
            </w:tcMar>
            <w:vAlign w:val="center"/>
          </w:tcPr>
          <w:p w14:paraId="6AC2641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2.2保通保畅方案</w:t>
            </w:r>
          </w:p>
        </w:tc>
        <w:tc>
          <w:tcPr>
            <w:tcW w:w="1728" w:type="dxa"/>
            <w:noWrap w:val="0"/>
            <w:tcMar>
              <w:top w:w="0" w:type="dxa"/>
              <w:left w:w="51" w:type="dxa"/>
              <w:bottom w:w="0" w:type="dxa"/>
              <w:right w:w="51" w:type="dxa"/>
            </w:tcMar>
            <w:vAlign w:val="center"/>
          </w:tcPr>
          <w:p w14:paraId="17080DBD">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方案制定情况</w:t>
            </w:r>
          </w:p>
        </w:tc>
        <w:tc>
          <w:tcPr>
            <w:tcW w:w="8500" w:type="dxa"/>
            <w:noWrap w:val="0"/>
            <w:tcMar>
              <w:top w:w="0" w:type="dxa"/>
              <w:left w:w="51" w:type="dxa"/>
              <w:bottom w:w="0" w:type="dxa"/>
              <w:right w:w="51" w:type="dxa"/>
            </w:tcMar>
            <w:vAlign w:val="center"/>
          </w:tcPr>
          <w:p w14:paraId="3DD3B42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1.未制定保通保畅工作方案的，扣1分。</w:t>
            </w:r>
          </w:p>
        </w:tc>
        <w:tc>
          <w:tcPr>
            <w:tcW w:w="1083" w:type="dxa"/>
            <w:noWrap w:val="0"/>
            <w:tcMar>
              <w:top w:w="0" w:type="dxa"/>
              <w:left w:w="51" w:type="dxa"/>
              <w:bottom w:w="0" w:type="dxa"/>
              <w:right w:w="51" w:type="dxa"/>
            </w:tcMar>
            <w:vAlign w:val="center"/>
          </w:tcPr>
          <w:p w14:paraId="73CE3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24D2B1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6B85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245" w:type="dxa"/>
            <w:noWrap w:val="0"/>
            <w:tcMar>
              <w:top w:w="0" w:type="dxa"/>
              <w:left w:w="51" w:type="dxa"/>
              <w:bottom w:w="0" w:type="dxa"/>
              <w:right w:w="51" w:type="dxa"/>
            </w:tcMar>
            <w:vAlign w:val="center"/>
          </w:tcPr>
          <w:p w14:paraId="58246F4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2.3保通保畅机制</w:t>
            </w:r>
          </w:p>
        </w:tc>
        <w:tc>
          <w:tcPr>
            <w:tcW w:w="1728" w:type="dxa"/>
            <w:noWrap w:val="0"/>
            <w:tcMar>
              <w:top w:w="0" w:type="dxa"/>
              <w:left w:w="51" w:type="dxa"/>
              <w:bottom w:w="0" w:type="dxa"/>
              <w:right w:w="51" w:type="dxa"/>
            </w:tcMar>
            <w:vAlign w:val="center"/>
          </w:tcPr>
          <w:p w14:paraId="64E5124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机制建立情况</w:t>
            </w:r>
          </w:p>
        </w:tc>
        <w:tc>
          <w:tcPr>
            <w:tcW w:w="8500" w:type="dxa"/>
            <w:noWrap w:val="0"/>
            <w:tcMar>
              <w:top w:w="0" w:type="dxa"/>
              <w:left w:w="51" w:type="dxa"/>
              <w:bottom w:w="0" w:type="dxa"/>
              <w:right w:w="51" w:type="dxa"/>
            </w:tcMar>
            <w:vAlign w:val="center"/>
          </w:tcPr>
          <w:p w14:paraId="0118407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1.未建立“一路三方”会商调度机制扣1分；</w:t>
            </w:r>
          </w:p>
          <w:p w14:paraId="27598C3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2.未与属地、邻省交管部门建立高地联动机制扣1分；</w:t>
            </w:r>
          </w:p>
          <w:p w14:paraId="7F1DF21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3.未与气象、水利等部门建立信息共享机制扣1分。</w:t>
            </w:r>
          </w:p>
        </w:tc>
        <w:tc>
          <w:tcPr>
            <w:tcW w:w="1083" w:type="dxa"/>
            <w:noWrap w:val="0"/>
            <w:tcMar>
              <w:top w:w="0" w:type="dxa"/>
              <w:left w:w="51" w:type="dxa"/>
              <w:bottom w:w="0" w:type="dxa"/>
              <w:right w:w="51" w:type="dxa"/>
            </w:tcMar>
            <w:vAlign w:val="center"/>
          </w:tcPr>
          <w:p w14:paraId="38FA8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5D6F8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593B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1245" w:type="dxa"/>
            <w:vMerge w:val="restart"/>
            <w:noWrap w:val="0"/>
            <w:tcMar>
              <w:top w:w="0" w:type="dxa"/>
              <w:left w:w="51" w:type="dxa"/>
              <w:bottom w:w="0" w:type="dxa"/>
              <w:right w:w="51" w:type="dxa"/>
            </w:tcMar>
            <w:vAlign w:val="center"/>
          </w:tcPr>
          <w:p w14:paraId="059DA81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2.4保通保畅措施</w:t>
            </w:r>
          </w:p>
        </w:tc>
        <w:tc>
          <w:tcPr>
            <w:tcW w:w="1728" w:type="dxa"/>
            <w:noWrap w:val="0"/>
            <w:tcMar>
              <w:top w:w="0" w:type="dxa"/>
              <w:left w:w="51" w:type="dxa"/>
              <w:bottom w:w="0" w:type="dxa"/>
              <w:right w:w="51" w:type="dxa"/>
            </w:tcMar>
            <w:vAlign w:val="center"/>
          </w:tcPr>
          <w:p w14:paraId="4B7C2C1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路段措施落实情况</w:t>
            </w:r>
          </w:p>
        </w:tc>
        <w:tc>
          <w:tcPr>
            <w:tcW w:w="8500" w:type="dxa"/>
            <w:noWrap w:val="0"/>
            <w:tcMar>
              <w:top w:w="0" w:type="dxa"/>
              <w:left w:w="51" w:type="dxa"/>
              <w:bottom w:w="0" w:type="dxa"/>
              <w:right w:w="51" w:type="dxa"/>
            </w:tcMar>
            <w:vAlign w:val="center"/>
          </w:tcPr>
          <w:p w14:paraId="7DBC5E9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1.未采取涉路施工现场管控、合理布设救援力量等措施，未积极配合高速公安、高速执法等相关部门采取“轻微小”事故快撤快处、临时交通管控等措施，导致拥堵扣0.5分/次；</w:t>
            </w:r>
          </w:p>
          <w:p w14:paraId="0C64531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2.未在拥堵点位开展交通疏导工作扣1分/次；</w:t>
            </w:r>
          </w:p>
          <w:p w14:paraId="12F2B139">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3.未按规范开展可变情报板信息发布工作扣0.5分/次。</w:t>
            </w:r>
          </w:p>
        </w:tc>
        <w:tc>
          <w:tcPr>
            <w:tcW w:w="1083" w:type="dxa"/>
            <w:noWrap w:val="0"/>
            <w:tcMar>
              <w:top w:w="0" w:type="dxa"/>
              <w:left w:w="51" w:type="dxa"/>
              <w:bottom w:w="0" w:type="dxa"/>
              <w:right w:w="51" w:type="dxa"/>
            </w:tcMar>
            <w:vAlign w:val="center"/>
          </w:tcPr>
          <w:p w14:paraId="06C304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3EEBC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4440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245" w:type="dxa"/>
            <w:vMerge w:val="continue"/>
            <w:noWrap w:val="0"/>
            <w:tcMar>
              <w:top w:w="0" w:type="dxa"/>
              <w:left w:w="51" w:type="dxa"/>
              <w:bottom w:w="0" w:type="dxa"/>
              <w:right w:w="51" w:type="dxa"/>
            </w:tcMar>
            <w:vAlign w:val="center"/>
          </w:tcPr>
          <w:p w14:paraId="14D87E14">
            <w:pPr>
              <w:jc w:val="left"/>
              <w:rPr>
                <w:rFonts w:hint="default" w:ascii="Times New Roman" w:hAnsi="Times New Roman" w:eastAsia="仿宋_GB2312" w:cs="Times New Roman"/>
                <w:i w:val="0"/>
                <w:iCs w:val="0"/>
                <w:color w:val="000000"/>
                <w:sz w:val="20"/>
                <w:szCs w:val="20"/>
                <w:u w:val="none"/>
              </w:rPr>
            </w:pPr>
          </w:p>
        </w:tc>
        <w:tc>
          <w:tcPr>
            <w:tcW w:w="1728" w:type="dxa"/>
            <w:noWrap w:val="0"/>
            <w:tcMar>
              <w:top w:w="0" w:type="dxa"/>
              <w:left w:w="51" w:type="dxa"/>
              <w:bottom w:w="0" w:type="dxa"/>
              <w:right w:w="51" w:type="dxa"/>
            </w:tcMar>
            <w:vAlign w:val="center"/>
          </w:tcPr>
          <w:p w14:paraId="2476939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服务区措施落实情况</w:t>
            </w:r>
          </w:p>
        </w:tc>
        <w:tc>
          <w:tcPr>
            <w:tcW w:w="8500" w:type="dxa"/>
            <w:noWrap w:val="0"/>
            <w:tcMar>
              <w:top w:w="0" w:type="dxa"/>
              <w:left w:w="51" w:type="dxa"/>
              <w:bottom w:w="0" w:type="dxa"/>
              <w:right w:w="51" w:type="dxa"/>
            </w:tcMar>
            <w:vAlign w:val="center"/>
          </w:tcPr>
          <w:p w14:paraId="70B998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4.未采取有效管控措施导致服务区反堵至主线扣1分/次。</w:t>
            </w:r>
          </w:p>
        </w:tc>
        <w:tc>
          <w:tcPr>
            <w:tcW w:w="1083" w:type="dxa"/>
            <w:noWrap w:val="0"/>
            <w:tcMar>
              <w:top w:w="0" w:type="dxa"/>
              <w:left w:w="51" w:type="dxa"/>
              <w:bottom w:w="0" w:type="dxa"/>
              <w:right w:w="51" w:type="dxa"/>
            </w:tcMar>
            <w:vAlign w:val="center"/>
          </w:tcPr>
          <w:p w14:paraId="752491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08282E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50B2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245" w:type="dxa"/>
            <w:vMerge w:val="continue"/>
            <w:noWrap w:val="0"/>
            <w:tcMar>
              <w:top w:w="0" w:type="dxa"/>
              <w:left w:w="51" w:type="dxa"/>
              <w:bottom w:w="0" w:type="dxa"/>
              <w:right w:w="51" w:type="dxa"/>
            </w:tcMar>
            <w:vAlign w:val="center"/>
          </w:tcPr>
          <w:p w14:paraId="62183BCE">
            <w:pPr>
              <w:jc w:val="left"/>
              <w:rPr>
                <w:rFonts w:hint="default" w:ascii="Times New Roman" w:hAnsi="Times New Roman" w:eastAsia="仿宋_GB2312" w:cs="Times New Roman"/>
                <w:i w:val="0"/>
                <w:iCs w:val="0"/>
                <w:color w:val="000000"/>
                <w:sz w:val="20"/>
                <w:szCs w:val="20"/>
                <w:u w:val="none"/>
              </w:rPr>
            </w:pPr>
          </w:p>
        </w:tc>
        <w:tc>
          <w:tcPr>
            <w:tcW w:w="1728" w:type="dxa"/>
            <w:noWrap w:val="0"/>
            <w:tcMar>
              <w:top w:w="0" w:type="dxa"/>
              <w:left w:w="51" w:type="dxa"/>
              <w:bottom w:w="0" w:type="dxa"/>
              <w:right w:w="51" w:type="dxa"/>
            </w:tcMar>
            <w:vAlign w:val="center"/>
          </w:tcPr>
          <w:p w14:paraId="2D06681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收费站措施落实情况</w:t>
            </w:r>
          </w:p>
        </w:tc>
        <w:tc>
          <w:tcPr>
            <w:tcW w:w="8500" w:type="dxa"/>
            <w:noWrap w:val="0"/>
            <w:tcMar>
              <w:top w:w="0" w:type="dxa"/>
              <w:left w:w="51" w:type="dxa"/>
              <w:bottom w:w="0" w:type="dxa"/>
              <w:right w:w="51" w:type="dxa"/>
            </w:tcMar>
            <w:vAlign w:val="center"/>
          </w:tcPr>
          <w:p w14:paraId="70662134">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5.未采取应急收费措施、收费设施抢修不及时等措施导致收费站拥堵扣1分/次；2.未妥善处置收费争议影响收费站通行秩序扣0.5分/次。</w:t>
            </w:r>
          </w:p>
        </w:tc>
        <w:tc>
          <w:tcPr>
            <w:tcW w:w="1083" w:type="dxa"/>
            <w:noWrap w:val="0"/>
            <w:tcMar>
              <w:top w:w="0" w:type="dxa"/>
              <w:left w:w="51" w:type="dxa"/>
              <w:bottom w:w="0" w:type="dxa"/>
              <w:right w:w="51" w:type="dxa"/>
            </w:tcMar>
            <w:vAlign w:val="center"/>
          </w:tcPr>
          <w:p w14:paraId="52ACF2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5FDB7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763E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jc w:val="center"/>
        </w:trPr>
        <w:tc>
          <w:tcPr>
            <w:tcW w:w="1245" w:type="dxa"/>
            <w:noWrap w:val="0"/>
            <w:tcMar>
              <w:top w:w="0" w:type="dxa"/>
              <w:left w:w="51" w:type="dxa"/>
              <w:bottom w:w="0" w:type="dxa"/>
              <w:right w:w="51" w:type="dxa"/>
            </w:tcMar>
            <w:vAlign w:val="center"/>
          </w:tcPr>
          <w:p w14:paraId="1B457D42">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2.5网络安全</w:t>
            </w:r>
          </w:p>
        </w:tc>
        <w:tc>
          <w:tcPr>
            <w:tcW w:w="1728" w:type="dxa"/>
            <w:noWrap w:val="0"/>
            <w:tcMar>
              <w:top w:w="0" w:type="dxa"/>
              <w:left w:w="51" w:type="dxa"/>
              <w:bottom w:w="0" w:type="dxa"/>
              <w:right w:w="51" w:type="dxa"/>
            </w:tcMar>
            <w:vAlign w:val="center"/>
          </w:tcPr>
          <w:p w14:paraId="648520D4">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网络安全制度落实情况</w:t>
            </w:r>
          </w:p>
        </w:tc>
        <w:tc>
          <w:tcPr>
            <w:tcW w:w="8500" w:type="dxa"/>
            <w:noWrap w:val="0"/>
            <w:tcMar>
              <w:top w:w="0" w:type="dxa"/>
              <w:left w:w="51" w:type="dxa"/>
              <w:bottom w:w="0" w:type="dxa"/>
              <w:right w:w="51" w:type="dxa"/>
            </w:tcMar>
            <w:vAlign w:val="center"/>
          </w:tcPr>
          <w:p w14:paraId="3A38D96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1.未建立并落实网络安全制度扣2分；</w:t>
            </w:r>
          </w:p>
          <w:p w14:paraId="2B92E4C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2.未开展网络安全应急演练扣1分；</w:t>
            </w:r>
          </w:p>
          <w:p w14:paraId="51CDD7B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3.未建立并及时更新可变情报板台账扣1分；</w:t>
            </w:r>
          </w:p>
          <w:p w14:paraId="240D93A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4.未开展网络漏洞排查整改扣0.5分/次；</w:t>
            </w:r>
          </w:p>
          <w:p w14:paraId="26743D9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5.未落实月报告和重要时段零报告制度，迟报扣0.2分/次、未报扣0.5/次；</w:t>
            </w:r>
          </w:p>
          <w:p w14:paraId="0CC51AF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6.发生网络安全事件扣3分。</w:t>
            </w:r>
          </w:p>
        </w:tc>
        <w:tc>
          <w:tcPr>
            <w:tcW w:w="1083" w:type="dxa"/>
            <w:noWrap w:val="0"/>
            <w:tcMar>
              <w:top w:w="0" w:type="dxa"/>
              <w:left w:w="51" w:type="dxa"/>
              <w:bottom w:w="0" w:type="dxa"/>
              <w:right w:w="51" w:type="dxa"/>
            </w:tcMar>
            <w:vAlign w:val="center"/>
          </w:tcPr>
          <w:p w14:paraId="3E5F6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376D8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3C3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1245" w:type="dxa"/>
            <w:noWrap w:val="0"/>
            <w:tcMar>
              <w:top w:w="0" w:type="dxa"/>
              <w:left w:w="51" w:type="dxa"/>
              <w:bottom w:w="0" w:type="dxa"/>
              <w:right w:w="51" w:type="dxa"/>
            </w:tcMar>
            <w:vAlign w:val="center"/>
          </w:tcPr>
          <w:p w14:paraId="76F9D0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2.6收费站管理</w:t>
            </w:r>
          </w:p>
        </w:tc>
        <w:tc>
          <w:tcPr>
            <w:tcW w:w="1728" w:type="dxa"/>
            <w:noWrap w:val="0"/>
            <w:tcMar>
              <w:top w:w="0" w:type="dxa"/>
              <w:left w:w="51" w:type="dxa"/>
              <w:bottom w:w="0" w:type="dxa"/>
              <w:right w:w="51" w:type="dxa"/>
            </w:tcMar>
            <w:vAlign w:val="center"/>
          </w:tcPr>
          <w:p w14:paraId="4C73FC0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收费站设置合法合规，新开通收费站需审批，不得擅自关闭收费站</w:t>
            </w:r>
          </w:p>
        </w:tc>
        <w:tc>
          <w:tcPr>
            <w:tcW w:w="8500" w:type="dxa"/>
            <w:noWrap w:val="0"/>
            <w:tcMar>
              <w:top w:w="0" w:type="dxa"/>
              <w:left w:w="51" w:type="dxa"/>
              <w:bottom w:w="0" w:type="dxa"/>
              <w:right w:w="51" w:type="dxa"/>
            </w:tcMar>
            <w:vAlign w:val="center"/>
          </w:tcPr>
          <w:p w14:paraId="410FFAB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1.擅自变更收费站位置的扣3分/项；</w:t>
            </w:r>
          </w:p>
          <w:p w14:paraId="2B445F1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2.已通车高速公路开通收费站未经高管局审核的扣1分/项；</w:t>
            </w:r>
          </w:p>
          <w:p w14:paraId="174DF10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3.收费站关闭长于15天未向辖区执法支大队报备、未经厅高管局审核批准的扣1分/次；</w:t>
            </w:r>
          </w:p>
          <w:p w14:paraId="546013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4.关闭收费站长于15天的信息未及时公布或信息发布不准确的，扣0.5分/项。</w:t>
            </w:r>
          </w:p>
        </w:tc>
        <w:tc>
          <w:tcPr>
            <w:tcW w:w="1083" w:type="dxa"/>
            <w:noWrap w:val="0"/>
            <w:tcMar>
              <w:top w:w="0" w:type="dxa"/>
              <w:left w:w="51" w:type="dxa"/>
              <w:bottom w:w="0" w:type="dxa"/>
              <w:right w:w="51" w:type="dxa"/>
            </w:tcMar>
            <w:vAlign w:val="center"/>
          </w:tcPr>
          <w:p w14:paraId="2D0CC7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日常巡查、综合考评结果</w:t>
            </w:r>
          </w:p>
        </w:tc>
        <w:tc>
          <w:tcPr>
            <w:tcW w:w="1252" w:type="dxa"/>
            <w:noWrap w:val="0"/>
            <w:tcMar>
              <w:top w:w="0" w:type="dxa"/>
              <w:left w:w="51" w:type="dxa"/>
              <w:bottom w:w="0" w:type="dxa"/>
              <w:right w:w="51" w:type="dxa"/>
            </w:tcMar>
            <w:vAlign w:val="center"/>
          </w:tcPr>
          <w:p w14:paraId="34D588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1-3项执法总队、3-4项执法大队</w:t>
            </w:r>
          </w:p>
        </w:tc>
      </w:tr>
      <w:tr w14:paraId="6FCF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1245" w:type="dxa"/>
            <w:noWrap w:val="0"/>
            <w:tcMar>
              <w:top w:w="0" w:type="dxa"/>
              <w:left w:w="51" w:type="dxa"/>
              <w:bottom w:w="0" w:type="dxa"/>
              <w:right w:w="51" w:type="dxa"/>
            </w:tcMar>
            <w:vAlign w:val="center"/>
          </w:tcPr>
          <w:p w14:paraId="7BFBBB2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2.7收费公路统计管理</w:t>
            </w:r>
          </w:p>
        </w:tc>
        <w:tc>
          <w:tcPr>
            <w:tcW w:w="1728" w:type="dxa"/>
            <w:noWrap w:val="0"/>
            <w:tcMar>
              <w:top w:w="0" w:type="dxa"/>
              <w:left w:w="51" w:type="dxa"/>
              <w:bottom w:w="0" w:type="dxa"/>
              <w:right w:w="51" w:type="dxa"/>
            </w:tcMar>
            <w:vAlign w:val="center"/>
          </w:tcPr>
          <w:p w14:paraId="4780347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及时准确提供收费公路统计资料和有关情况</w:t>
            </w:r>
          </w:p>
        </w:tc>
        <w:tc>
          <w:tcPr>
            <w:tcW w:w="8500" w:type="dxa"/>
            <w:noWrap w:val="0"/>
            <w:tcMar>
              <w:top w:w="0" w:type="dxa"/>
              <w:left w:w="51" w:type="dxa"/>
              <w:bottom w:w="0" w:type="dxa"/>
              <w:right w:w="51" w:type="dxa"/>
            </w:tcMar>
            <w:vAlign w:val="center"/>
          </w:tcPr>
          <w:p w14:paraId="6244187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1.未在规定时间内报送统计报表的扣0.1分；</w:t>
            </w:r>
          </w:p>
          <w:p w14:paraId="6952863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2.填报数据不准确、不完整的扣0.3分；</w:t>
            </w:r>
          </w:p>
          <w:p w14:paraId="6E47B2A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3.统计报表因填写错误经审核被退回3次以上的扣0.2分，后每增加一次扣0.1分；</w:t>
            </w:r>
          </w:p>
          <w:p w14:paraId="17FC7C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4.填报数据有重大错误被部、厅、（总队）局通报的分别扣3分、2分、1分。</w:t>
            </w:r>
          </w:p>
        </w:tc>
        <w:tc>
          <w:tcPr>
            <w:tcW w:w="1083" w:type="dxa"/>
            <w:noWrap w:val="0"/>
            <w:tcMar>
              <w:top w:w="0" w:type="dxa"/>
              <w:left w:w="51" w:type="dxa"/>
              <w:bottom w:w="0" w:type="dxa"/>
              <w:right w:w="51" w:type="dxa"/>
            </w:tcMar>
            <w:vAlign w:val="center"/>
          </w:tcPr>
          <w:p w14:paraId="05D6F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6C057B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42E3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245" w:type="dxa"/>
            <w:tcBorders>
              <w:bottom w:val="single" w:color="auto" w:sz="4" w:space="0"/>
            </w:tcBorders>
            <w:noWrap w:val="0"/>
            <w:tcMar>
              <w:top w:w="0" w:type="dxa"/>
              <w:left w:w="51" w:type="dxa"/>
              <w:bottom w:w="0" w:type="dxa"/>
              <w:right w:w="51" w:type="dxa"/>
            </w:tcMar>
            <w:vAlign w:val="center"/>
          </w:tcPr>
          <w:p w14:paraId="0355F04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2.8约谈通报</w:t>
            </w:r>
          </w:p>
        </w:tc>
        <w:tc>
          <w:tcPr>
            <w:tcW w:w="1728" w:type="dxa"/>
            <w:tcBorders>
              <w:bottom w:val="single" w:color="auto" w:sz="4" w:space="0"/>
            </w:tcBorders>
            <w:noWrap w:val="0"/>
            <w:tcMar>
              <w:top w:w="0" w:type="dxa"/>
              <w:left w:w="51" w:type="dxa"/>
              <w:bottom w:w="0" w:type="dxa"/>
              <w:right w:w="51" w:type="dxa"/>
            </w:tcMar>
            <w:vAlign w:val="center"/>
          </w:tcPr>
          <w:p w14:paraId="4A636B5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因拥堵引发重大舆情被部、厅、局等通报、约谈情况。</w:t>
            </w:r>
          </w:p>
        </w:tc>
        <w:tc>
          <w:tcPr>
            <w:tcW w:w="8500" w:type="dxa"/>
            <w:tcBorders>
              <w:bottom w:val="single" w:color="auto" w:sz="4" w:space="0"/>
            </w:tcBorders>
            <w:noWrap w:val="0"/>
            <w:tcMar>
              <w:top w:w="0" w:type="dxa"/>
              <w:left w:w="51" w:type="dxa"/>
              <w:bottom w:w="0" w:type="dxa"/>
              <w:right w:w="51" w:type="dxa"/>
            </w:tcMar>
            <w:vAlign w:val="center"/>
          </w:tcPr>
          <w:p w14:paraId="189D90B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1.被部、厅、总队（局）通报、约谈的，分别扣5、3、2分/次</w:t>
            </w:r>
          </w:p>
        </w:tc>
        <w:tc>
          <w:tcPr>
            <w:tcW w:w="1083" w:type="dxa"/>
            <w:tcBorders>
              <w:bottom w:val="single" w:color="auto" w:sz="4" w:space="0"/>
            </w:tcBorders>
            <w:noWrap w:val="0"/>
            <w:tcMar>
              <w:top w:w="0" w:type="dxa"/>
              <w:left w:w="51" w:type="dxa"/>
              <w:bottom w:w="0" w:type="dxa"/>
              <w:right w:w="51" w:type="dxa"/>
            </w:tcMar>
            <w:vAlign w:val="center"/>
          </w:tcPr>
          <w:p w14:paraId="5D4C46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tcBorders>
              <w:bottom w:val="single" w:color="auto" w:sz="4" w:space="0"/>
            </w:tcBorders>
            <w:noWrap w:val="0"/>
            <w:tcMar>
              <w:top w:w="0" w:type="dxa"/>
              <w:left w:w="51" w:type="dxa"/>
              <w:bottom w:w="0" w:type="dxa"/>
              <w:right w:w="51" w:type="dxa"/>
            </w:tcMar>
            <w:vAlign w:val="center"/>
          </w:tcPr>
          <w:p w14:paraId="2959B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bl>
    <w:p w14:paraId="4EFA5411"/>
    <w:tbl>
      <w:tblPr>
        <w:tblStyle w:val="7"/>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28"/>
        <w:gridCol w:w="8500"/>
        <w:gridCol w:w="1083"/>
        <w:gridCol w:w="1252"/>
      </w:tblGrid>
      <w:tr w14:paraId="11C2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973" w:type="dxa"/>
            <w:gridSpan w:val="2"/>
            <w:tcBorders>
              <w:top w:val="nil"/>
              <w:left w:val="nil"/>
              <w:right w:val="nil"/>
            </w:tcBorders>
            <w:noWrap w:val="0"/>
            <w:tcMar>
              <w:top w:w="0" w:type="dxa"/>
              <w:left w:w="51" w:type="dxa"/>
              <w:bottom w:w="0" w:type="dxa"/>
              <w:right w:w="51" w:type="dxa"/>
            </w:tcMar>
            <w:vAlign w:val="center"/>
          </w:tcPr>
          <w:p w14:paraId="47CE11C5">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3.服务（30分）</w:t>
            </w:r>
          </w:p>
        </w:tc>
        <w:tc>
          <w:tcPr>
            <w:tcW w:w="8500" w:type="dxa"/>
            <w:tcBorders>
              <w:top w:val="nil"/>
              <w:left w:val="nil"/>
              <w:right w:val="nil"/>
            </w:tcBorders>
            <w:noWrap w:val="0"/>
            <w:tcMar>
              <w:top w:w="0" w:type="dxa"/>
              <w:left w:w="51" w:type="dxa"/>
              <w:bottom w:w="0" w:type="dxa"/>
              <w:right w:w="51" w:type="dxa"/>
            </w:tcMar>
            <w:vAlign w:val="center"/>
          </w:tcPr>
          <w:p w14:paraId="1EDD5F15">
            <w:pPr>
              <w:jc w:val="center"/>
              <w:rPr>
                <w:rFonts w:hint="default" w:ascii="Times New Roman" w:hAnsi="Times New Roman" w:eastAsia="宋体" w:cs="Times New Roman"/>
                <w:i w:val="0"/>
                <w:iCs w:val="0"/>
                <w:color w:val="000000"/>
                <w:sz w:val="24"/>
                <w:szCs w:val="24"/>
                <w:u w:val="none"/>
              </w:rPr>
            </w:pPr>
          </w:p>
        </w:tc>
        <w:tc>
          <w:tcPr>
            <w:tcW w:w="1083" w:type="dxa"/>
            <w:tcBorders>
              <w:top w:val="nil"/>
              <w:left w:val="nil"/>
              <w:right w:val="nil"/>
            </w:tcBorders>
            <w:noWrap w:val="0"/>
            <w:tcMar>
              <w:top w:w="0" w:type="dxa"/>
              <w:left w:w="51" w:type="dxa"/>
              <w:bottom w:w="0" w:type="dxa"/>
              <w:right w:w="51" w:type="dxa"/>
            </w:tcMar>
            <w:vAlign w:val="center"/>
          </w:tcPr>
          <w:p w14:paraId="674CA13C">
            <w:pPr>
              <w:jc w:val="center"/>
              <w:rPr>
                <w:rFonts w:hint="default" w:ascii="Times New Roman" w:hAnsi="Times New Roman" w:eastAsia="宋体" w:cs="Times New Roman"/>
                <w:i w:val="0"/>
                <w:iCs w:val="0"/>
                <w:color w:val="000000"/>
                <w:sz w:val="24"/>
                <w:szCs w:val="24"/>
                <w:u w:val="none"/>
              </w:rPr>
            </w:pPr>
          </w:p>
        </w:tc>
        <w:tc>
          <w:tcPr>
            <w:tcW w:w="1252" w:type="dxa"/>
            <w:tcBorders>
              <w:top w:val="nil"/>
              <w:left w:val="nil"/>
              <w:right w:val="nil"/>
            </w:tcBorders>
            <w:noWrap w:val="0"/>
            <w:tcMar>
              <w:top w:w="0" w:type="dxa"/>
              <w:left w:w="51" w:type="dxa"/>
              <w:bottom w:w="0" w:type="dxa"/>
              <w:right w:w="51" w:type="dxa"/>
            </w:tcMar>
            <w:vAlign w:val="center"/>
          </w:tcPr>
          <w:p w14:paraId="700B41BD">
            <w:pPr>
              <w:jc w:val="center"/>
              <w:rPr>
                <w:rFonts w:hint="default" w:ascii="Times New Roman" w:hAnsi="Times New Roman" w:eastAsia="宋体" w:cs="Times New Roman"/>
                <w:i w:val="0"/>
                <w:iCs w:val="0"/>
                <w:color w:val="000000"/>
                <w:sz w:val="24"/>
                <w:szCs w:val="24"/>
                <w:u w:val="none"/>
              </w:rPr>
            </w:pPr>
          </w:p>
        </w:tc>
      </w:tr>
      <w:tr w14:paraId="2816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45" w:type="dxa"/>
            <w:noWrap w:val="0"/>
            <w:tcMar>
              <w:top w:w="0" w:type="dxa"/>
              <w:left w:w="51" w:type="dxa"/>
              <w:bottom w:w="0" w:type="dxa"/>
              <w:right w:w="51" w:type="dxa"/>
            </w:tcMar>
            <w:vAlign w:val="center"/>
          </w:tcPr>
          <w:p w14:paraId="3F5C9123">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考评项目</w:t>
            </w:r>
          </w:p>
        </w:tc>
        <w:tc>
          <w:tcPr>
            <w:tcW w:w="1728" w:type="dxa"/>
            <w:noWrap w:val="0"/>
            <w:tcMar>
              <w:top w:w="0" w:type="dxa"/>
              <w:left w:w="51" w:type="dxa"/>
              <w:bottom w:w="0" w:type="dxa"/>
              <w:right w:w="51" w:type="dxa"/>
            </w:tcMar>
            <w:vAlign w:val="center"/>
          </w:tcPr>
          <w:p w14:paraId="2D7840C6">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考评内容</w:t>
            </w:r>
          </w:p>
        </w:tc>
        <w:tc>
          <w:tcPr>
            <w:tcW w:w="8500" w:type="dxa"/>
            <w:noWrap w:val="0"/>
            <w:tcMar>
              <w:top w:w="0" w:type="dxa"/>
              <w:left w:w="51" w:type="dxa"/>
              <w:bottom w:w="0" w:type="dxa"/>
              <w:right w:w="51" w:type="dxa"/>
            </w:tcMar>
            <w:vAlign w:val="center"/>
          </w:tcPr>
          <w:p w14:paraId="2FA51229">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评分标准</w:t>
            </w:r>
          </w:p>
        </w:tc>
        <w:tc>
          <w:tcPr>
            <w:tcW w:w="1083" w:type="dxa"/>
            <w:noWrap w:val="0"/>
            <w:tcMar>
              <w:top w:w="0" w:type="dxa"/>
              <w:left w:w="51" w:type="dxa"/>
              <w:bottom w:w="0" w:type="dxa"/>
              <w:right w:w="51" w:type="dxa"/>
            </w:tcMar>
            <w:vAlign w:val="center"/>
          </w:tcPr>
          <w:p w14:paraId="49049FEB">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考评依据</w:t>
            </w:r>
          </w:p>
        </w:tc>
        <w:tc>
          <w:tcPr>
            <w:tcW w:w="1252" w:type="dxa"/>
            <w:noWrap w:val="0"/>
            <w:tcMar>
              <w:top w:w="0" w:type="dxa"/>
              <w:left w:w="51" w:type="dxa"/>
              <w:bottom w:w="0" w:type="dxa"/>
              <w:right w:w="51" w:type="dxa"/>
            </w:tcMar>
            <w:vAlign w:val="center"/>
          </w:tcPr>
          <w:p w14:paraId="0F33BBA1">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实施主体</w:t>
            </w:r>
          </w:p>
        </w:tc>
      </w:tr>
      <w:tr w14:paraId="74B5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45" w:type="dxa"/>
            <w:noWrap w:val="0"/>
            <w:tcMar>
              <w:top w:w="0" w:type="dxa"/>
              <w:left w:w="51" w:type="dxa"/>
              <w:bottom w:w="0" w:type="dxa"/>
              <w:right w:w="51" w:type="dxa"/>
            </w:tcMar>
            <w:vAlign w:val="center"/>
          </w:tcPr>
          <w:p w14:paraId="6F7FFAB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3.1服务区服务功能</w:t>
            </w:r>
          </w:p>
        </w:tc>
        <w:tc>
          <w:tcPr>
            <w:tcW w:w="1728" w:type="dxa"/>
            <w:noWrap w:val="0"/>
            <w:tcMar>
              <w:top w:w="0" w:type="dxa"/>
              <w:left w:w="51" w:type="dxa"/>
              <w:bottom w:w="0" w:type="dxa"/>
              <w:right w:w="51" w:type="dxa"/>
            </w:tcMar>
            <w:vAlign w:val="center"/>
          </w:tcPr>
          <w:p w14:paraId="2BA5CA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服务区服务功能达标情况。</w:t>
            </w:r>
          </w:p>
        </w:tc>
        <w:tc>
          <w:tcPr>
            <w:tcW w:w="8500" w:type="dxa"/>
            <w:noWrap w:val="0"/>
            <w:tcMar>
              <w:top w:w="0" w:type="dxa"/>
              <w:left w:w="51" w:type="dxa"/>
              <w:bottom w:w="0" w:type="dxa"/>
              <w:right w:w="51" w:type="dxa"/>
            </w:tcMar>
            <w:vAlign w:val="center"/>
          </w:tcPr>
          <w:p w14:paraId="15EF4BC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1.服务区未按要求开放运营的，扣3分/对；</w:t>
            </w:r>
          </w:p>
          <w:p w14:paraId="3502F21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2.不具备入厕、停车、饮用水、加油、汽车充电等功能的，扣2分/项；</w:t>
            </w:r>
          </w:p>
          <w:p w14:paraId="7E2634A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3.无障碍设施、停车位、厕位数量等不达标的，扣1分/项。</w:t>
            </w:r>
          </w:p>
        </w:tc>
        <w:tc>
          <w:tcPr>
            <w:tcW w:w="1083" w:type="dxa"/>
            <w:noWrap w:val="0"/>
            <w:tcMar>
              <w:top w:w="0" w:type="dxa"/>
              <w:left w:w="51" w:type="dxa"/>
              <w:bottom w:w="0" w:type="dxa"/>
              <w:right w:w="51" w:type="dxa"/>
            </w:tcMar>
            <w:vAlign w:val="center"/>
          </w:tcPr>
          <w:p w14:paraId="1935D5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6ED0F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1CED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245" w:type="dxa"/>
            <w:vMerge w:val="restart"/>
            <w:noWrap w:val="0"/>
            <w:tcMar>
              <w:top w:w="0" w:type="dxa"/>
              <w:left w:w="51" w:type="dxa"/>
              <w:bottom w:w="0" w:type="dxa"/>
              <w:right w:w="51" w:type="dxa"/>
            </w:tcMar>
            <w:vAlign w:val="center"/>
          </w:tcPr>
          <w:p w14:paraId="67A0ED49">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3.2服务形象</w:t>
            </w:r>
          </w:p>
        </w:tc>
        <w:tc>
          <w:tcPr>
            <w:tcW w:w="1728" w:type="dxa"/>
            <w:noWrap w:val="0"/>
            <w:tcMar>
              <w:top w:w="0" w:type="dxa"/>
              <w:left w:w="51" w:type="dxa"/>
              <w:bottom w:w="0" w:type="dxa"/>
              <w:right w:w="51" w:type="dxa"/>
            </w:tcMar>
            <w:vAlign w:val="center"/>
          </w:tcPr>
          <w:p w14:paraId="5603730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服务区、路域环境等干净整洁卫生。</w:t>
            </w:r>
          </w:p>
        </w:tc>
        <w:tc>
          <w:tcPr>
            <w:tcW w:w="8500" w:type="dxa"/>
            <w:noWrap w:val="0"/>
            <w:tcMar>
              <w:top w:w="0" w:type="dxa"/>
              <w:left w:w="51" w:type="dxa"/>
              <w:bottom w:w="0" w:type="dxa"/>
              <w:right w:w="51" w:type="dxa"/>
            </w:tcMar>
            <w:vAlign w:val="center"/>
          </w:tcPr>
          <w:p w14:paraId="3CD1B23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1.服务区、路面、桥涵、隧道、收费站等存在脏乱差等突出环境卫生问题扣1分/项；</w:t>
            </w:r>
          </w:p>
          <w:p w14:paraId="3F2092B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2.服务区未按月实施绿化养护，未达到黄土覆绿、无死株、绿化带无垃圾杂物要求的，扣0.2分/项。</w:t>
            </w:r>
          </w:p>
        </w:tc>
        <w:tc>
          <w:tcPr>
            <w:tcW w:w="1083" w:type="dxa"/>
            <w:noWrap w:val="0"/>
            <w:tcMar>
              <w:top w:w="0" w:type="dxa"/>
              <w:left w:w="51" w:type="dxa"/>
              <w:bottom w:w="0" w:type="dxa"/>
              <w:right w:w="51" w:type="dxa"/>
            </w:tcMar>
            <w:vAlign w:val="center"/>
          </w:tcPr>
          <w:p w14:paraId="2A82A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3B7B2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10A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45" w:type="dxa"/>
            <w:vMerge w:val="continue"/>
            <w:noWrap w:val="0"/>
            <w:tcMar>
              <w:top w:w="0" w:type="dxa"/>
              <w:left w:w="51" w:type="dxa"/>
              <w:bottom w:w="0" w:type="dxa"/>
              <w:right w:w="51" w:type="dxa"/>
            </w:tcMar>
            <w:vAlign w:val="center"/>
          </w:tcPr>
          <w:p w14:paraId="07E61CC3">
            <w:pPr>
              <w:jc w:val="left"/>
              <w:rPr>
                <w:rFonts w:hint="default" w:ascii="Times New Roman" w:hAnsi="Times New Roman" w:eastAsia="仿宋_GB2312" w:cs="Times New Roman"/>
                <w:i w:val="0"/>
                <w:iCs w:val="0"/>
                <w:color w:val="000000"/>
                <w:sz w:val="20"/>
                <w:szCs w:val="20"/>
                <w:u w:val="none"/>
              </w:rPr>
            </w:pPr>
          </w:p>
        </w:tc>
        <w:tc>
          <w:tcPr>
            <w:tcW w:w="1728" w:type="dxa"/>
            <w:noWrap w:val="0"/>
            <w:tcMar>
              <w:top w:w="0" w:type="dxa"/>
              <w:left w:w="51" w:type="dxa"/>
              <w:bottom w:w="0" w:type="dxa"/>
              <w:right w:w="51" w:type="dxa"/>
            </w:tcMar>
            <w:vAlign w:val="center"/>
          </w:tcPr>
          <w:p w14:paraId="3B71C379">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服务区建筑外观形象情况</w:t>
            </w:r>
          </w:p>
        </w:tc>
        <w:tc>
          <w:tcPr>
            <w:tcW w:w="8500" w:type="dxa"/>
            <w:noWrap w:val="0"/>
            <w:tcMar>
              <w:top w:w="0" w:type="dxa"/>
              <w:left w:w="51" w:type="dxa"/>
              <w:bottom w:w="0" w:type="dxa"/>
              <w:right w:w="51" w:type="dxa"/>
            </w:tcMar>
            <w:vAlign w:val="center"/>
          </w:tcPr>
          <w:p w14:paraId="00E5AB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3</w:t>
            </w:r>
            <w:r>
              <w:rPr>
                <w:rFonts w:hint="default" w:ascii="Times New Roman" w:hAnsi="Times New Roman" w:eastAsia="仿宋_GB2312" w:cs="Times New Roman"/>
                <w:i w:val="0"/>
                <w:iCs w:val="0"/>
                <w:color w:val="000000"/>
                <w:kern w:val="0"/>
                <w:sz w:val="20"/>
                <w:szCs w:val="20"/>
                <w:u w:val="none"/>
                <w:lang w:val="en-US" w:eastAsia="zh-CN" w:bidi="ar"/>
              </w:rPr>
              <w:t>.服务区建筑外立面存在破损、裂缝、积垢的，扣0.2分/项。</w:t>
            </w:r>
          </w:p>
        </w:tc>
        <w:tc>
          <w:tcPr>
            <w:tcW w:w="1083" w:type="dxa"/>
            <w:noWrap w:val="0"/>
            <w:tcMar>
              <w:top w:w="0" w:type="dxa"/>
              <w:left w:w="51" w:type="dxa"/>
              <w:bottom w:w="0" w:type="dxa"/>
              <w:right w:w="51" w:type="dxa"/>
            </w:tcMar>
            <w:vAlign w:val="center"/>
          </w:tcPr>
          <w:p w14:paraId="1966C6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6A8377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1755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45" w:type="dxa"/>
            <w:vMerge w:val="restart"/>
            <w:noWrap w:val="0"/>
            <w:tcMar>
              <w:top w:w="0" w:type="dxa"/>
              <w:left w:w="51" w:type="dxa"/>
              <w:bottom w:w="0" w:type="dxa"/>
              <w:right w:w="51" w:type="dxa"/>
            </w:tcMar>
            <w:vAlign w:val="center"/>
          </w:tcPr>
          <w:p w14:paraId="3B9AE615">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3.3服务区服务质量</w:t>
            </w:r>
          </w:p>
        </w:tc>
        <w:tc>
          <w:tcPr>
            <w:tcW w:w="1728" w:type="dxa"/>
            <w:noWrap w:val="0"/>
            <w:tcMar>
              <w:top w:w="0" w:type="dxa"/>
              <w:left w:w="51" w:type="dxa"/>
              <w:bottom w:w="0" w:type="dxa"/>
              <w:right w:w="51" w:type="dxa"/>
            </w:tcMar>
            <w:vAlign w:val="center"/>
          </w:tcPr>
          <w:p w14:paraId="0919E86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服务区各类设施设备配备齐全、设施完好可用。</w:t>
            </w:r>
          </w:p>
        </w:tc>
        <w:tc>
          <w:tcPr>
            <w:tcW w:w="8500" w:type="dxa"/>
            <w:noWrap w:val="0"/>
            <w:tcMar>
              <w:top w:w="0" w:type="dxa"/>
              <w:left w:w="51" w:type="dxa"/>
              <w:bottom w:w="0" w:type="dxa"/>
              <w:right w:w="51" w:type="dxa"/>
            </w:tcMar>
            <w:vAlign w:val="center"/>
          </w:tcPr>
          <w:p w14:paraId="5CADDE7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1.水龙头、灯具、洁具等易耗易损设施完好率低于90%的，扣1分/月；</w:t>
            </w:r>
          </w:p>
          <w:p w14:paraId="7441736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2.其他设施设备配备不齐全、破损等问题未按要求整改的，扣0.2分/项。</w:t>
            </w:r>
          </w:p>
        </w:tc>
        <w:tc>
          <w:tcPr>
            <w:tcW w:w="1083" w:type="dxa"/>
            <w:noWrap w:val="0"/>
            <w:tcMar>
              <w:top w:w="0" w:type="dxa"/>
              <w:left w:w="51" w:type="dxa"/>
              <w:bottom w:w="0" w:type="dxa"/>
              <w:right w:w="51" w:type="dxa"/>
            </w:tcMar>
            <w:vAlign w:val="center"/>
          </w:tcPr>
          <w:p w14:paraId="50A6F5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4810A3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11E4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5" w:type="dxa"/>
            <w:vMerge w:val="continue"/>
            <w:noWrap w:val="0"/>
            <w:tcMar>
              <w:top w:w="0" w:type="dxa"/>
              <w:left w:w="51" w:type="dxa"/>
              <w:bottom w:w="0" w:type="dxa"/>
              <w:right w:w="51" w:type="dxa"/>
            </w:tcMar>
            <w:vAlign w:val="center"/>
          </w:tcPr>
          <w:p w14:paraId="4EB3C550">
            <w:pPr>
              <w:jc w:val="left"/>
              <w:rPr>
                <w:rFonts w:hint="default" w:ascii="Times New Roman" w:hAnsi="Times New Roman" w:eastAsia="仿宋_GB2312" w:cs="Times New Roman"/>
                <w:i w:val="0"/>
                <w:iCs w:val="0"/>
                <w:color w:val="000000"/>
                <w:sz w:val="20"/>
                <w:szCs w:val="20"/>
                <w:u w:val="none"/>
              </w:rPr>
            </w:pPr>
          </w:p>
        </w:tc>
        <w:tc>
          <w:tcPr>
            <w:tcW w:w="1728" w:type="dxa"/>
            <w:noWrap w:val="0"/>
            <w:tcMar>
              <w:top w:w="0" w:type="dxa"/>
              <w:left w:w="51" w:type="dxa"/>
              <w:bottom w:w="0" w:type="dxa"/>
              <w:right w:w="51" w:type="dxa"/>
            </w:tcMar>
            <w:vAlign w:val="center"/>
          </w:tcPr>
          <w:p w14:paraId="3E1B2B9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服务区现场从业人员文明服务。</w:t>
            </w:r>
          </w:p>
        </w:tc>
        <w:tc>
          <w:tcPr>
            <w:tcW w:w="8500" w:type="dxa"/>
            <w:noWrap w:val="0"/>
            <w:tcMar>
              <w:top w:w="0" w:type="dxa"/>
              <w:left w:w="51" w:type="dxa"/>
              <w:bottom w:w="0" w:type="dxa"/>
              <w:right w:w="51" w:type="dxa"/>
            </w:tcMar>
            <w:vAlign w:val="center"/>
          </w:tcPr>
          <w:p w14:paraId="299B2C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3</w:t>
            </w:r>
            <w:r>
              <w:rPr>
                <w:rFonts w:hint="default" w:ascii="Times New Roman" w:hAnsi="Times New Roman" w:eastAsia="仿宋_GB2312" w:cs="Times New Roman"/>
                <w:i w:val="0"/>
                <w:iCs w:val="0"/>
                <w:color w:val="000000"/>
                <w:kern w:val="0"/>
                <w:sz w:val="20"/>
                <w:szCs w:val="20"/>
                <w:u w:val="none"/>
                <w:lang w:val="en-US" w:eastAsia="zh-CN" w:bidi="ar"/>
              </w:rPr>
              <w:t>.未统一工装或工牌的，员工未穿着工装或佩戴工牌的，扣0.2分/项。</w:t>
            </w:r>
          </w:p>
        </w:tc>
        <w:tc>
          <w:tcPr>
            <w:tcW w:w="1083" w:type="dxa"/>
            <w:noWrap w:val="0"/>
            <w:tcMar>
              <w:top w:w="0" w:type="dxa"/>
              <w:left w:w="51" w:type="dxa"/>
              <w:bottom w:w="0" w:type="dxa"/>
              <w:right w:w="51" w:type="dxa"/>
            </w:tcMar>
            <w:vAlign w:val="center"/>
          </w:tcPr>
          <w:p w14:paraId="27CCFB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73040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w:t>
            </w:r>
          </w:p>
        </w:tc>
      </w:tr>
      <w:tr w14:paraId="4BE3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45" w:type="dxa"/>
            <w:vMerge w:val="restart"/>
            <w:noWrap w:val="0"/>
            <w:tcMar>
              <w:top w:w="0" w:type="dxa"/>
              <w:left w:w="51" w:type="dxa"/>
              <w:bottom w:w="0" w:type="dxa"/>
              <w:right w:w="51" w:type="dxa"/>
            </w:tcMar>
            <w:vAlign w:val="center"/>
          </w:tcPr>
          <w:p w14:paraId="36A889F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3.4服务区管理水平</w:t>
            </w:r>
          </w:p>
        </w:tc>
        <w:tc>
          <w:tcPr>
            <w:tcW w:w="1728" w:type="dxa"/>
            <w:vMerge w:val="restart"/>
            <w:noWrap w:val="0"/>
            <w:tcMar>
              <w:top w:w="0" w:type="dxa"/>
              <w:left w:w="51" w:type="dxa"/>
              <w:bottom w:w="0" w:type="dxa"/>
              <w:right w:w="51" w:type="dxa"/>
            </w:tcMar>
            <w:vAlign w:val="center"/>
          </w:tcPr>
          <w:p w14:paraId="4C9B8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服务区管理制度建立及落实情况。</w:t>
            </w:r>
          </w:p>
        </w:tc>
        <w:tc>
          <w:tcPr>
            <w:tcW w:w="8500" w:type="dxa"/>
            <w:noWrap w:val="0"/>
            <w:tcMar>
              <w:top w:w="0" w:type="dxa"/>
              <w:left w:w="51" w:type="dxa"/>
              <w:bottom w:w="0" w:type="dxa"/>
              <w:right w:w="51" w:type="dxa"/>
            </w:tcMar>
            <w:vAlign w:val="center"/>
          </w:tcPr>
          <w:p w14:paraId="0F2D4A4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1.服务区基本管理制度不健全的，未设有专门管理机构和专职管理人员的扣0.5分/项；</w:t>
            </w:r>
          </w:p>
          <w:p w14:paraId="348348F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2.未每日开展监督检查工作的扣0.5分/项。</w:t>
            </w:r>
          </w:p>
        </w:tc>
        <w:tc>
          <w:tcPr>
            <w:tcW w:w="1083" w:type="dxa"/>
            <w:noWrap w:val="0"/>
            <w:tcMar>
              <w:top w:w="0" w:type="dxa"/>
              <w:left w:w="51" w:type="dxa"/>
              <w:bottom w:w="0" w:type="dxa"/>
              <w:right w:w="51" w:type="dxa"/>
            </w:tcMar>
            <w:vAlign w:val="center"/>
          </w:tcPr>
          <w:p w14:paraId="4C096C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日常巡查、书面评估结果</w:t>
            </w:r>
          </w:p>
        </w:tc>
        <w:tc>
          <w:tcPr>
            <w:tcW w:w="1252" w:type="dxa"/>
            <w:noWrap w:val="0"/>
            <w:tcMar>
              <w:top w:w="0" w:type="dxa"/>
              <w:left w:w="51" w:type="dxa"/>
              <w:bottom w:w="0" w:type="dxa"/>
              <w:right w:w="51" w:type="dxa"/>
            </w:tcMar>
            <w:vAlign w:val="center"/>
          </w:tcPr>
          <w:p w14:paraId="182454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1项执法支队、2项执法大队</w:t>
            </w:r>
          </w:p>
        </w:tc>
      </w:tr>
      <w:tr w14:paraId="5864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45" w:type="dxa"/>
            <w:vMerge w:val="continue"/>
            <w:noWrap w:val="0"/>
            <w:tcMar>
              <w:top w:w="0" w:type="dxa"/>
              <w:left w:w="51" w:type="dxa"/>
              <w:bottom w:w="0" w:type="dxa"/>
              <w:right w:w="51" w:type="dxa"/>
            </w:tcMar>
            <w:vAlign w:val="center"/>
          </w:tcPr>
          <w:p w14:paraId="48CA414C">
            <w:pPr>
              <w:jc w:val="left"/>
              <w:rPr>
                <w:rFonts w:hint="default" w:ascii="Times New Roman" w:hAnsi="Times New Roman" w:eastAsia="仿宋_GB2312" w:cs="Times New Roman"/>
                <w:i w:val="0"/>
                <w:iCs w:val="0"/>
                <w:color w:val="000000"/>
                <w:sz w:val="20"/>
                <w:szCs w:val="20"/>
                <w:u w:val="none"/>
              </w:rPr>
            </w:pPr>
          </w:p>
        </w:tc>
        <w:tc>
          <w:tcPr>
            <w:tcW w:w="1728" w:type="dxa"/>
            <w:vMerge w:val="continue"/>
            <w:noWrap w:val="0"/>
            <w:tcMar>
              <w:top w:w="0" w:type="dxa"/>
              <w:left w:w="51" w:type="dxa"/>
              <w:bottom w:w="0" w:type="dxa"/>
              <w:right w:w="51" w:type="dxa"/>
            </w:tcMar>
            <w:vAlign w:val="center"/>
          </w:tcPr>
          <w:p w14:paraId="412D4F3F">
            <w:pPr>
              <w:jc w:val="center"/>
              <w:rPr>
                <w:rFonts w:hint="default" w:ascii="Times New Roman" w:hAnsi="Times New Roman" w:eastAsia="仿宋_GB2312" w:cs="Times New Roman"/>
                <w:i w:val="0"/>
                <w:iCs w:val="0"/>
                <w:color w:val="000000"/>
                <w:sz w:val="20"/>
                <w:szCs w:val="20"/>
                <w:u w:val="none"/>
              </w:rPr>
            </w:pPr>
          </w:p>
        </w:tc>
        <w:tc>
          <w:tcPr>
            <w:tcW w:w="8500" w:type="dxa"/>
            <w:noWrap w:val="0"/>
            <w:tcMar>
              <w:top w:w="0" w:type="dxa"/>
              <w:left w:w="51" w:type="dxa"/>
              <w:bottom w:w="0" w:type="dxa"/>
              <w:right w:w="51" w:type="dxa"/>
            </w:tcMar>
            <w:vAlign w:val="center"/>
          </w:tcPr>
          <w:p w14:paraId="3A1B03B8">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3</w:t>
            </w:r>
            <w:r>
              <w:rPr>
                <w:rFonts w:hint="default" w:ascii="Times New Roman" w:hAnsi="Times New Roman" w:eastAsia="仿宋_GB2312" w:cs="Times New Roman"/>
                <w:i w:val="0"/>
                <w:iCs w:val="0"/>
                <w:color w:val="000000"/>
                <w:kern w:val="0"/>
                <w:sz w:val="20"/>
                <w:szCs w:val="20"/>
                <w:u w:val="none"/>
                <w:lang w:val="en-US" w:eastAsia="zh-CN" w:bidi="ar"/>
              </w:rPr>
              <w:t>.未协调联系属地有关部门开展消防、食品安全、价格等监督检查的，扣1分/项</w:t>
            </w:r>
          </w:p>
        </w:tc>
        <w:tc>
          <w:tcPr>
            <w:tcW w:w="1083" w:type="dxa"/>
            <w:noWrap w:val="0"/>
            <w:tcMar>
              <w:top w:w="0" w:type="dxa"/>
              <w:left w:w="51" w:type="dxa"/>
              <w:bottom w:w="0" w:type="dxa"/>
              <w:right w:w="51" w:type="dxa"/>
            </w:tcMar>
            <w:vAlign w:val="center"/>
          </w:tcPr>
          <w:p w14:paraId="3F5C23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2A24D3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0BEF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245" w:type="dxa"/>
            <w:noWrap w:val="0"/>
            <w:tcMar>
              <w:top w:w="0" w:type="dxa"/>
              <w:left w:w="51" w:type="dxa"/>
              <w:bottom w:w="0" w:type="dxa"/>
              <w:right w:w="51" w:type="dxa"/>
            </w:tcMar>
            <w:vAlign w:val="center"/>
          </w:tcPr>
          <w:p w14:paraId="69FE4A5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3.5清障救援服务</w:t>
            </w:r>
          </w:p>
        </w:tc>
        <w:tc>
          <w:tcPr>
            <w:tcW w:w="1728" w:type="dxa"/>
            <w:noWrap w:val="0"/>
            <w:tcMar>
              <w:top w:w="0" w:type="dxa"/>
              <w:left w:w="51" w:type="dxa"/>
              <w:bottom w:w="0" w:type="dxa"/>
              <w:right w:w="51" w:type="dxa"/>
            </w:tcMar>
            <w:vAlign w:val="center"/>
          </w:tcPr>
          <w:p w14:paraId="228CED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清障救援服务管理机制建立及落实情况。</w:t>
            </w:r>
          </w:p>
        </w:tc>
        <w:tc>
          <w:tcPr>
            <w:tcW w:w="8500" w:type="dxa"/>
            <w:noWrap w:val="0"/>
            <w:tcMar>
              <w:top w:w="0" w:type="dxa"/>
              <w:left w:w="51" w:type="dxa"/>
              <w:bottom w:w="0" w:type="dxa"/>
              <w:right w:w="51" w:type="dxa"/>
            </w:tcMar>
            <w:vAlign w:val="center"/>
          </w:tcPr>
          <w:p w14:paraId="200DADE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1.未建立清障救援服务管理机制的，未定期开展业务培训和演练的，未按要求统一车辆标识和人员着装的，未公示清障救援标准的，分别扣0.2分/项；</w:t>
            </w:r>
          </w:p>
          <w:p w14:paraId="14863BD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2.未按要求回访的，扣0.2分/项；</w:t>
            </w:r>
          </w:p>
          <w:p w14:paraId="3D80C75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3.指定维修场所、擅自增加收费项目、提高收费标准的，扣3分/项。</w:t>
            </w:r>
          </w:p>
        </w:tc>
        <w:tc>
          <w:tcPr>
            <w:tcW w:w="1083" w:type="dxa"/>
            <w:noWrap w:val="0"/>
            <w:tcMar>
              <w:top w:w="0" w:type="dxa"/>
              <w:left w:w="51" w:type="dxa"/>
              <w:bottom w:w="0" w:type="dxa"/>
              <w:right w:w="51" w:type="dxa"/>
            </w:tcMar>
            <w:vAlign w:val="center"/>
          </w:tcPr>
          <w:p w14:paraId="061B2F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日常巡查结果</w:t>
            </w:r>
          </w:p>
        </w:tc>
        <w:tc>
          <w:tcPr>
            <w:tcW w:w="1252" w:type="dxa"/>
            <w:noWrap w:val="0"/>
            <w:tcMar>
              <w:top w:w="0" w:type="dxa"/>
              <w:left w:w="51" w:type="dxa"/>
              <w:bottom w:w="0" w:type="dxa"/>
              <w:right w:w="51" w:type="dxa"/>
            </w:tcMar>
            <w:vAlign w:val="center"/>
          </w:tcPr>
          <w:p w14:paraId="7B24A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执法大队，1项一年一次</w:t>
            </w:r>
          </w:p>
        </w:tc>
      </w:tr>
      <w:tr w14:paraId="288F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1245" w:type="dxa"/>
            <w:noWrap w:val="0"/>
            <w:tcMar>
              <w:top w:w="0" w:type="dxa"/>
              <w:left w:w="51" w:type="dxa"/>
              <w:bottom w:w="0" w:type="dxa"/>
              <w:right w:w="51" w:type="dxa"/>
            </w:tcMar>
            <w:vAlign w:val="center"/>
          </w:tcPr>
          <w:p w14:paraId="663B2B4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3.6收费政策执行</w:t>
            </w:r>
          </w:p>
        </w:tc>
        <w:tc>
          <w:tcPr>
            <w:tcW w:w="1728" w:type="dxa"/>
            <w:noWrap w:val="0"/>
            <w:tcMar>
              <w:top w:w="0" w:type="dxa"/>
              <w:left w:w="51" w:type="dxa"/>
              <w:bottom w:w="0" w:type="dxa"/>
              <w:right w:w="51" w:type="dxa"/>
            </w:tcMar>
            <w:vAlign w:val="center"/>
          </w:tcPr>
          <w:p w14:paraId="3C8759AF">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车牌信息录入精准，收费政策执行准确。</w:t>
            </w:r>
          </w:p>
        </w:tc>
        <w:tc>
          <w:tcPr>
            <w:tcW w:w="8500" w:type="dxa"/>
            <w:noWrap w:val="0"/>
            <w:tcMar>
              <w:top w:w="0" w:type="dxa"/>
              <w:left w:w="51" w:type="dxa"/>
              <w:bottom w:w="0" w:type="dxa"/>
              <w:right w:w="51" w:type="dxa"/>
            </w:tcMar>
            <w:vAlign w:val="center"/>
          </w:tcPr>
          <w:p w14:paraId="6422812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1.CPC卡通行出入口车牌信息一致（免费节假日除外），该项扣分=（100%-车牌录入准确率）/1%*2，如果车牌录入准确率低于99%扣2分；</w:t>
            </w:r>
          </w:p>
          <w:p w14:paraId="5CD7AB5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2.CPC卡通行出入口车型信息一致（免费节假日除外），该项扣分=（100%-车型录入准确率）/1%*2，如果车型录入准确率低于99%扣2分；</w:t>
            </w:r>
          </w:p>
          <w:p w14:paraId="35A964D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3.收费人员不按规定流程操作甚至弄虚作假的，扣0.5分/次。</w:t>
            </w:r>
          </w:p>
        </w:tc>
        <w:tc>
          <w:tcPr>
            <w:tcW w:w="1083" w:type="dxa"/>
            <w:noWrap w:val="0"/>
            <w:tcMar>
              <w:top w:w="0" w:type="dxa"/>
              <w:left w:w="51" w:type="dxa"/>
              <w:bottom w:w="0" w:type="dxa"/>
              <w:right w:w="51" w:type="dxa"/>
            </w:tcMar>
            <w:vAlign w:val="center"/>
          </w:tcPr>
          <w:p w14:paraId="528BF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72AF4E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4408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1245" w:type="dxa"/>
            <w:noWrap w:val="0"/>
            <w:tcMar>
              <w:top w:w="0" w:type="dxa"/>
              <w:left w:w="51" w:type="dxa"/>
              <w:bottom w:w="0" w:type="dxa"/>
              <w:right w:w="51" w:type="dxa"/>
            </w:tcMar>
            <w:vAlign w:val="center"/>
          </w:tcPr>
          <w:p w14:paraId="3819E78B">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3.7投诉处理</w:t>
            </w:r>
          </w:p>
        </w:tc>
        <w:tc>
          <w:tcPr>
            <w:tcW w:w="1728" w:type="dxa"/>
            <w:noWrap w:val="0"/>
            <w:tcMar>
              <w:top w:w="0" w:type="dxa"/>
              <w:left w:w="51" w:type="dxa"/>
              <w:bottom w:w="0" w:type="dxa"/>
              <w:right w:w="51" w:type="dxa"/>
            </w:tcMar>
            <w:vAlign w:val="center"/>
          </w:tcPr>
          <w:p w14:paraId="31CC43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投诉处理机制建立及落实情况。</w:t>
            </w:r>
          </w:p>
        </w:tc>
        <w:tc>
          <w:tcPr>
            <w:tcW w:w="8500" w:type="dxa"/>
            <w:noWrap w:val="0"/>
            <w:tcMar>
              <w:top w:w="0" w:type="dxa"/>
              <w:left w:w="51" w:type="dxa"/>
              <w:bottom w:w="0" w:type="dxa"/>
              <w:right w:w="51" w:type="dxa"/>
            </w:tcMar>
            <w:vAlign w:val="center"/>
          </w:tcPr>
          <w:p w14:paraId="266BD9C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1.因公司运营管理原因引发投诉且调查属实的，扣0.2分/次；</w:t>
            </w:r>
          </w:p>
          <w:p w14:paraId="677B9A1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2.不积极调查处理或调查失真导致投诉逾期或不满意的，扣0.2分/次；</w:t>
            </w:r>
          </w:p>
          <w:p w14:paraId="4115D0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3.未按照投诉处理意见整改问题的，扣0.2分/次。</w:t>
            </w:r>
          </w:p>
        </w:tc>
        <w:tc>
          <w:tcPr>
            <w:tcW w:w="1083" w:type="dxa"/>
            <w:noWrap w:val="0"/>
            <w:tcMar>
              <w:top w:w="0" w:type="dxa"/>
              <w:left w:w="51" w:type="dxa"/>
              <w:bottom w:w="0" w:type="dxa"/>
              <w:right w:w="51" w:type="dxa"/>
            </w:tcMar>
            <w:vAlign w:val="center"/>
          </w:tcPr>
          <w:p w14:paraId="3D6E5A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日常巡查、综合考评结果</w:t>
            </w:r>
          </w:p>
        </w:tc>
        <w:tc>
          <w:tcPr>
            <w:tcW w:w="1252" w:type="dxa"/>
            <w:noWrap w:val="0"/>
            <w:tcMar>
              <w:top w:w="0" w:type="dxa"/>
              <w:left w:w="51" w:type="dxa"/>
              <w:bottom w:w="0" w:type="dxa"/>
              <w:right w:w="51" w:type="dxa"/>
            </w:tcMar>
            <w:vAlign w:val="center"/>
          </w:tcPr>
          <w:p w14:paraId="535E76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1-2项执法总队、3项执法大队</w:t>
            </w:r>
          </w:p>
        </w:tc>
      </w:tr>
      <w:tr w14:paraId="2174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1245" w:type="dxa"/>
            <w:noWrap w:val="0"/>
            <w:tcMar>
              <w:top w:w="0" w:type="dxa"/>
              <w:left w:w="51" w:type="dxa"/>
              <w:bottom w:w="0" w:type="dxa"/>
              <w:right w:w="51" w:type="dxa"/>
            </w:tcMar>
            <w:vAlign w:val="center"/>
          </w:tcPr>
          <w:p w14:paraId="28B65495">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3.8资料报送</w:t>
            </w:r>
          </w:p>
        </w:tc>
        <w:tc>
          <w:tcPr>
            <w:tcW w:w="1728" w:type="dxa"/>
            <w:noWrap w:val="0"/>
            <w:tcMar>
              <w:top w:w="0" w:type="dxa"/>
              <w:left w:w="51" w:type="dxa"/>
              <w:bottom w:w="0" w:type="dxa"/>
              <w:right w:w="51" w:type="dxa"/>
            </w:tcMar>
            <w:vAlign w:val="center"/>
          </w:tcPr>
          <w:p w14:paraId="6E3654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行业管理相关资料报送情况</w:t>
            </w:r>
          </w:p>
        </w:tc>
        <w:tc>
          <w:tcPr>
            <w:tcW w:w="8500" w:type="dxa"/>
            <w:noWrap w:val="0"/>
            <w:tcMar>
              <w:top w:w="0" w:type="dxa"/>
              <w:left w:w="51" w:type="dxa"/>
              <w:bottom w:w="0" w:type="dxa"/>
              <w:right w:w="51" w:type="dxa"/>
            </w:tcMar>
            <w:vAlign w:val="center"/>
          </w:tcPr>
          <w:p w14:paraId="340F16B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1.营运公司未按要求报送日常巡查问题整改台账、路况桥隧定检报告、制度建设、预案修订情况、各类服务设施相关统计报表等资料的，扣0.2/次。</w:t>
            </w:r>
          </w:p>
        </w:tc>
        <w:tc>
          <w:tcPr>
            <w:tcW w:w="1083" w:type="dxa"/>
            <w:noWrap w:val="0"/>
            <w:tcMar>
              <w:top w:w="0" w:type="dxa"/>
              <w:left w:w="51" w:type="dxa"/>
              <w:bottom w:w="0" w:type="dxa"/>
              <w:right w:w="51" w:type="dxa"/>
            </w:tcMar>
            <w:vAlign w:val="center"/>
          </w:tcPr>
          <w:p w14:paraId="4918A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书面评估结果</w:t>
            </w:r>
          </w:p>
        </w:tc>
        <w:tc>
          <w:tcPr>
            <w:tcW w:w="1252" w:type="dxa"/>
            <w:noWrap w:val="0"/>
            <w:tcMar>
              <w:top w:w="0" w:type="dxa"/>
              <w:left w:w="51" w:type="dxa"/>
              <w:bottom w:w="0" w:type="dxa"/>
              <w:right w:w="51" w:type="dxa"/>
            </w:tcMar>
            <w:vAlign w:val="center"/>
          </w:tcPr>
          <w:p w14:paraId="218E99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执法支队</w:t>
            </w:r>
          </w:p>
        </w:tc>
      </w:tr>
      <w:tr w14:paraId="3519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45" w:type="dxa"/>
            <w:noWrap w:val="0"/>
            <w:tcMar>
              <w:top w:w="0" w:type="dxa"/>
              <w:left w:w="51" w:type="dxa"/>
              <w:bottom w:w="0" w:type="dxa"/>
              <w:right w:w="51" w:type="dxa"/>
            </w:tcMar>
            <w:vAlign w:val="center"/>
          </w:tcPr>
          <w:p w14:paraId="7E68D482">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3.9约谈通报</w:t>
            </w:r>
          </w:p>
        </w:tc>
        <w:tc>
          <w:tcPr>
            <w:tcW w:w="1728" w:type="dxa"/>
            <w:noWrap w:val="0"/>
            <w:tcMar>
              <w:top w:w="0" w:type="dxa"/>
              <w:left w:w="51" w:type="dxa"/>
              <w:bottom w:w="0" w:type="dxa"/>
              <w:right w:w="51" w:type="dxa"/>
            </w:tcMar>
            <w:vAlign w:val="center"/>
          </w:tcPr>
          <w:p w14:paraId="04E4AAC6">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因突出服务问题或引发重大舆情被部、厅、局等通报、约谈情况。</w:t>
            </w:r>
          </w:p>
        </w:tc>
        <w:tc>
          <w:tcPr>
            <w:tcW w:w="8500" w:type="dxa"/>
            <w:noWrap w:val="0"/>
            <w:tcMar>
              <w:top w:w="0" w:type="dxa"/>
              <w:left w:w="51" w:type="dxa"/>
              <w:bottom w:w="0" w:type="dxa"/>
              <w:right w:w="51" w:type="dxa"/>
            </w:tcMar>
            <w:vAlign w:val="center"/>
          </w:tcPr>
          <w:p w14:paraId="56F7F18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1.被部、厅、总队（局）通报、约谈的，分别扣5、3、2分/次</w:t>
            </w:r>
          </w:p>
        </w:tc>
        <w:tc>
          <w:tcPr>
            <w:tcW w:w="1083" w:type="dxa"/>
            <w:noWrap w:val="0"/>
            <w:tcMar>
              <w:top w:w="0" w:type="dxa"/>
              <w:left w:w="51" w:type="dxa"/>
              <w:bottom w:w="0" w:type="dxa"/>
              <w:right w:w="51" w:type="dxa"/>
            </w:tcMar>
            <w:vAlign w:val="center"/>
          </w:tcPr>
          <w:p w14:paraId="491A5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noWrap w:val="0"/>
            <w:tcMar>
              <w:top w:w="0" w:type="dxa"/>
              <w:left w:w="51" w:type="dxa"/>
              <w:bottom w:w="0" w:type="dxa"/>
              <w:right w:w="51" w:type="dxa"/>
            </w:tcMar>
            <w:vAlign w:val="center"/>
          </w:tcPr>
          <w:p w14:paraId="7D2395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03C6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45" w:type="dxa"/>
            <w:tcBorders>
              <w:bottom w:val="single" w:color="auto" w:sz="4" w:space="0"/>
            </w:tcBorders>
            <w:noWrap w:val="0"/>
            <w:tcMar>
              <w:top w:w="0" w:type="dxa"/>
              <w:left w:w="51" w:type="dxa"/>
              <w:bottom w:w="0" w:type="dxa"/>
              <w:right w:w="51" w:type="dxa"/>
            </w:tcMar>
            <w:vAlign w:val="center"/>
          </w:tcPr>
          <w:p w14:paraId="31B573E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3.10重点任务</w:t>
            </w:r>
          </w:p>
        </w:tc>
        <w:tc>
          <w:tcPr>
            <w:tcW w:w="1728" w:type="dxa"/>
            <w:tcBorders>
              <w:bottom w:val="single" w:color="auto" w:sz="4" w:space="0"/>
            </w:tcBorders>
            <w:noWrap w:val="0"/>
            <w:tcMar>
              <w:top w:w="0" w:type="dxa"/>
              <w:left w:w="51" w:type="dxa"/>
              <w:bottom w:w="0" w:type="dxa"/>
              <w:right w:w="51" w:type="dxa"/>
            </w:tcMar>
            <w:vAlign w:val="center"/>
          </w:tcPr>
          <w:p w14:paraId="58A52AE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行业重点任务完成情况</w:t>
            </w:r>
          </w:p>
        </w:tc>
        <w:tc>
          <w:tcPr>
            <w:tcW w:w="8500" w:type="dxa"/>
            <w:tcBorders>
              <w:bottom w:val="single" w:color="auto" w:sz="4" w:space="0"/>
            </w:tcBorders>
            <w:noWrap w:val="0"/>
            <w:tcMar>
              <w:top w:w="0" w:type="dxa"/>
              <w:left w:w="51" w:type="dxa"/>
              <w:bottom w:w="0" w:type="dxa"/>
              <w:right w:w="51" w:type="dxa"/>
            </w:tcMar>
            <w:vAlign w:val="center"/>
          </w:tcPr>
          <w:p w14:paraId="7AF4976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1.未完成行业年度重点目标任务，扣3分/项</w:t>
            </w:r>
          </w:p>
        </w:tc>
        <w:tc>
          <w:tcPr>
            <w:tcW w:w="1083" w:type="dxa"/>
            <w:tcBorders>
              <w:bottom w:val="single" w:color="auto" w:sz="4" w:space="0"/>
            </w:tcBorders>
            <w:noWrap w:val="0"/>
            <w:tcMar>
              <w:top w:w="0" w:type="dxa"/>
              <w:left w:w="51" w:type="dxa"/>
              <w:bottom w:w="0" w:type="dxa"/>
              <w:right w:w="51" w:type="dxa"/>
            </w:tcMar>
            <w:vAlign w:val="center"/>
          </w:tcPr>
          <w:p w14:paraId="3803C9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综合考评结果</w:t>
            </w:r>
          </w:p>
        </w:tc>
        <w:tc>
          <w:tcPr>
            <w:tcW w:w="1252" w:type="dxa"/>
            <w:tcBorders>
              <w:bottom w:val="single" w:color="auto" w:sz="4" w:space="0"/>
            </w:tcBorders>
            <w:noWrap w:val="0"/>
            <w:tcMar>
              <w:top w:w="0" w:type="dxa"/>
              <w:left w:w="51" w:type="dxa"/>
              <w:bottom w:w="0" w:type="dxa"/>
              <w:right w:w="51" w:type="dxa"/>
            </w:tcMar>
            <w:vAlign w:val="center"/>
          </w:tcPr>
          <w:p w14:paraId="6181FE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bl>
    <w:p w14:paraId="3163509E"/>
    <w:tbl>
      <w:tblPr>
        <w:tblStyle w:val="7"/>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28"/>
        <w:gridCol w:w="8500"/>
        <w:gridCol w:w="1083"/>
        <w:gridCol w:w="1252"/>
      </w:tblGrid>
      <w:tr w14:paraId="04BC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3" w:type="dxa"/>
            <w:gridSpan w:val="3"/>
            <w:tcBorders>
              <w:top w:val="nil"/>
              <w:left w:val="nil"/>
              <w:right w:val="nil"/>
            </w:tcBorders>
            <w:noWrap w:val="0"/>
            <w:tcMar>
              <w:top w:w="0" w:type="dxa"/>
              <w:left w:w="51" w:type="dxa"/>
              <w:bottom w:w="0" w:type="dxa"/>
              <w:right w:w="51" w:type="dxa"/>
            </w:tcMar>
            <w:vAlign w:val="center"/>
          </w:tcPr>
          <w:p w14:paraId="70DA4E62">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4.加分（5分）</w:t>
            </w:r>
          </w:p>
        </w:tc>
        <w:tc>
          <w:tcPr>
            <w:tcW w:w="1083" w:type="dxa"/>
            <w:tcBorders>
              <w:top w:val="nil"/>
              <w:left w:val="nil"/>
              <w:right w:val="nil"/>
            </w:tcBorders>
            <w:noWrap w:val="0"/>
            <w:tcMar>
              <w:top w:w="0" w:type="dxa"/>
              <w:left w:w="51" w:type="dxa"/>
              <w:bottom w:w="0" w:type="dxa"/>
              <w:right w:w="51" w:type="dxa"/>
            </w:tcMar>
            <w:vAlign w:val="center"/>
          </w:tcPr>
          <w:p w14:paraId="2781CDB1">
            <w:pPr>
              <w:jc w:val="center"/>
              <w:rPr>
                <w:rFonts w:hint="default" w:ascii="Times New Roman" w:hAnsi="Times New Roman" w:eastAsia="宋体" w:cs="Times New Roman"/>
                <w:i w:val="0"/>
                <w:iCs w:val="0"/>
                <w:color w:val="000000"/>
                <w:sz w:val="24"/>
                <w:szCs w:val="24"/>
                <w:u w:val="none"/>
              </w:rPr>
            </w:pPr>
          </w:p>
        </w:tc>
        <w:tc>
          <w:tcPr>
            <w:tcW w:w="1252" w:type="dxa"/>
            <w:tcBorders>
              <w:top w:val="nil"/>
              <w:left w:val="nil"/>
              <w:right w:val="nil"/>
            </w:tcBorders>
            <w:noWrap w:val="0"/>
            <w:tcMar>
              <w:top w:w="0" w:type="dxa"/>
              <w:left w:w="51" w:type="dxa"/>
              <w:bottom w:w="0" w:type="dxa"/>
              <w:right w:w="51" w:type="dxa"/>
            </w:tcMar>
            <w:vAlign w:val="center"/>
          </w:tcPr>
          <w:p w14:paraId="04416BC1">
            <w:pPr>
              <w:jc w:val="center"/>
              <w:rPr>
                <w:rFonts w:hint="default" w:ascii="Times New Roman" w:hAnsi="Times New Roman" w:eastAsia="宋体" w:cs="Times New Roman"/>
                <w:i w:val="0"/>
                <w:iCs w:val="0"/>
                <w:color w:val="000000"/>
                <w:sz w:val="24"/>
                <w:szCs w:val="24"/>
                <w:u w:val="none"/>
              </w:rPr>
            </w:pPr>
          </w:p>
        </w:tc>
      </w:tr>
      <w:tr w14:paraId="28BA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45" w:type="dxa"/>
            <w:noWrap w:val="0"/>
            <w:tcMar>
              <w:top w:w="0" w:type="dxa"/>
              <w:left w:w="51" w:type="dxa"/>
              <w:bottom w:w="0" w:type="dxa"/>
              <w:right w:w="51" w:type="dxa"/>
            </w:tcMar>
            <w:vAlign w:val="center"/>
          </w:tcPr>
          <w:p w14:paraId="754051E1">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考评项目</w:t>
            </w:r>
          </w:p>
        </w:tc>
        <w:tc>
          <w:tcPr>
            <w:tcW w:w="1728" w:type="dxa"/>
            <w:noWrap w:val="0"/>
            <w:tcMar>
              <w:top w:w="0" w:type="dxa"/>
              <w:left w:w="51" w:type="dxa"/>
              <w:bottom w:w="0" w:type="dxa"/>
              <w:right w:w="51" w:type="dxa"/>
            </w:tcMar>
            <w:vAlign w:val="center"/>
          </w:tcPr>
          <w:p w14:paraId="04BEFB01">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考评内容</w:t>
            </w:r>
          </w:p>
        </w:tc>
        <w:tc>
          <w:tcPr>
            <w:tcW w:w="8500" w:type="dxa"/>
            <w:noWrap w:val="0"/>
            <w:tcMar>
              <w:top w:w="0" w:type="dxa"/>
              <w:left w:w="51" w:type="dxa"/>
              <w:bottom w:w="0" w:type="dxa"/>
              <w:right w:w="51" w:type="dxa"/>
            </w:tcMar>
            <w:vAlign w:val="center"/>
          </w:tcPr>
          <w:p w14:paraId="718AC5E4">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评分标准</w:t>
            </w:r>
          </w:p>
        </w:tc>
        <w:tc>
          <w:tcPr>
            <w:tcW w:w="1083" w:type="dxa"/>
            <w:noWrap w:val="0"/>
            <w:tcMar>
              <w:top w:w="0" w:type="dxa"/>
              <w:left w:w="51" w:type="dxa"/>
              <w:bottom w:w="0" w:type="dxa"/>
              <w:right w:w="51" w:type="dxa"/>
            </w:tcMar>
            <w:vAlign w:val="center"/>
          </w:tcPr>
          <w:p w14:paraId="5EB0DD1F">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考评依据</w:t>
            </w:r>
          </w:p>
        </w:tc>
        <w:tc>
          <w:tcPr>
            <w:tcW w:w="1252" w:type="dxa"/>
            <w:noWrap w:val="0"/>
            <w:tcMar>
              <w:top w:w="0" w:type="dxa"/>
              <w:left w:w="51" w:type="dxa"/>
              <w:bottom w:w="0" w:type="dxa"/>
              <w:right w:w="51" w:type="dxa"/>
            </w:tcMar>
            <w:vAlign w:val="center"/>
          </w:tcPr>
          <w:p w14:paraId="4A264AC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实施主体</w:t>
            </w:r>
          </w:p>
        </w:tc>
      </w:tr>
      <w:tr w14:paraId="2D1E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245" w:type="dxa"/>
            <w:noWrap w:val="0"/>
            <w:tcMar>
              <w:top w:w="0" w:type="dxa"/>
              <w:left w:w="51" w:type="dxa"/>
              <w:bottom w:w="0" w:type="dxa"/>
              <w:right w:w="51" w:type="dxa"/>
            </w:tcMar>
            <w:vAlign w:val="center"/>
          </w:tcPr>
          <w:p w14:paraId="5D0A4072">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4.1上级表彰</w:t>
            </w:r>
          </w:p>
        </w:tc>
        <w:tc>
          <w:tcPr>
            <w:tcW w:w="1728" w:type="dxa"/>
            <w:noWrap w:val="0"/>
            <w:tcMar>
              <w:top w:w="0" w:type="dxa"/>
              <w:left w:w="51" w:type="dxa"/>
              <w:bottom w:w="0" w:type="dxa"/>
              <w:right w:w="51" w:type="dxa"/>
            </w:tcMar>
            <w:vAlign w:val="center"/>
          </w:tcPr>
          <w:p w14:paraId="3B0A1A0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因运营服务质量好，获得表彰奖励情况。</w:t>
            </w:r>
          </w:p>
        </w:tc>
        <w:tc>
          <w:tcPr>
            <w:tcW w:w="8500" w:type="dxa"/>
            <w:noWrap w:val="0"/>
            <w:tcMar>
              <w:top w:w="0" w:type="dxa"/>
              <w:left w:w="51" w:type="dxa"/>
              <w:bottom w:w="0" w:type="dxa"/>
              <w:right w:w="51" w:type="dxa"/>
            </w:tcMar>
            <w:vAlign w:val="center"/>
          </w:tcPr>
          <w:p w14:paraId="5206AFFE">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1.因高速公路运营服务质量好，获得省部级以上表彰的加2分/次，获得厅级表彰的加1分/次。</w:t>
            </w:r>
          </w:p>
        </w:tc>
        <w:tc>
          <w:tcPr>
            <w:tcW w:w="1083" w:type="dxa"/>
            <w:vMerge w:val="restart"/>
            <w:noWrap w:val="0"/>
            <w:tcMar>
              <w:top w:w="0" w:type="dxa"/>
              <w:left w:w="51" w:type="dxa"/>
              <w:bottom w:w="0" w:type="dxa"/>
              <w:right w:w="51" w:type="dxa"/>
            </w:tcMar>
            <w:vAlign w:val="center"/>
          </w:tcPr>
          <w:p w14:paraId="4C2E2880">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依据营运公司自行申报提供的表彰文件、经验推广文件、新闻通稿等佐证材料加分。加分事项为同一事项的，只以最高分计算一次。</w:t>
            </w:r>
          </w:p>
        </w:tc>
        <w:tc>
          <w:tcPr>
            <w:tcW w:w="1252" w:type="dxa"/>
            <w:noWrap w:val="0"/>
            <w:tcMar>
              <w:top w:w="0" w:type="dxa"/>
              <w:left w:w="51" w:type="dxa"/>
              <w:bottom w:w="0" w:type="dxa"/>
              <w:right w:w="51" w:type="dxa"/>
            </w:tcMar>
            <w:vAlign w:val="center"/>
          </w:tcPr>
          <w:p w14:paraId="761624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34F5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1245" w:type="dxa"/>
            <w:noWrap w:val="0"/>
            <w:tcMar>
              <w:top w:w="0" w:type="dxa"/>
              <w:left w:w="51" w:type="dxa"/>
              <w:bottom w:w="0" w:type="dxa"/>
              <w:right w:w="51" w:type="dxa"/>
            </w:tcMar>
            <w:vAlign w:val="center"/>
          </w:tcPr>
          <w:p w14:paraId="4D0C5FC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4.2经验推广</w:t>
            </w:r>
          </w:p>
        </w:tc>
        <w:tc>
          <w:tcPr>
            <w:tcW w:w="1728" w:type="dxa"/>
            <w:noWrap w:val="0"/>
            <w:tcMar>
              <w:top w:w="0" w:type="dxa"/>
              <w:left w:w="51" w:type="dxa"/>
              <w:bottom w:w="0" w:type="dxa"/>
              <w:right w:w="51" w:type="dxa"/>
            </w:tcMar>
            <w:vAlign w:val="center"/>
          </w:tcPr>
          <w:p w14:paraId="76137153">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运营管理工作创新及经验做法被省部级以上推广情况。</w:t>
            </w:r>
          </w:p>
        </w:tc>
        <w:tc>
          <w:tcPr>
            <w:tcW w:w="8500" w:type="dxa"/>
            <w:noWrap w:val="0"/>
            <w:tcMar>
              <w:top w:w="0" w:type="dxa"/>
              <w:left w:w="51" w:type="dxa"/>
              <w:bottom w:w="0" w:type="dxa"/>
              <w:right w:w="51" w:type="dxa"/>
            </w:tcMar>
            <w:vAlign w:val="center"/>
          </w:tcPr>
          <w:p w14:paraId="0134331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1.高速公路运营管理工作创新及经验做法被省部级以上推广的，加1分/次。</w:t>
            </w:r>
          </w:p>
        </w:tc>
        <w:tc>
          <w:tcPr>
            <w:tcW w:w="1083" w:type="dxa"/>
            <w:vMerge w:val="continue"/>
            <w:noWrap w:val="0"/>
            <w:tcMar>
              <w:top w:w="0" w:type="dxa"/>
              <w:left w:w="51" w:type="dxa"/>
              <w:bottom w:w="0" w:type="dxa"/>
              <w:right w:w="51" w:type="dxa"/>
            </w:tcMar>
            <w:vAlign w:val="center"/>
          </w:tcPr>
          <w:p w14:paraId="0DFBDDCE">
            <w:pPr>
              <w:jc w:val="center"/>
              <w:rPr>
                <w:rFonts w:hint="default" w:ascii="Times New Roman" w:hAnsi="Times New Roman" w:eastAsia="仿宋_GB2312" w:cs="Times New Roman"/>
                <w:i w:val="0"/>
                <w:iCs w:val="0"/>
                <w:color w:val="000000"/>
                <w:sz w:val="20"/>
                <w:szCs w:val="20"/>
                <w:u w:val="none"/>
              </w:rPr>
            </w:pPr>
          </w:p>
        </w:tc>
        <w:tc>
          <w:tcPr>
            <w:tcW w:w="1252" w:type="dxa"/>
            <w:noWrap w:val="0"/>
            <w:tcMar>
              <w:top w:w="0" w:type="dxa"/>
              <w:left w:w="51" w:type="dxa"/>
              <w:bottom w:w="0" w:type="dxa"/>
              <w:right w:w="51" w:type="dxa"/>
            </w:tcMar>
            <w:vAlign w:val="center"/>
          </w:tcPr>
          <w:p w14:paraId="0D000D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5D4F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245" w:type="dxa"/>
            <w:noWrap w:val="0"/>
            <w:tcMar>
              <w:top w:w="0" w:type="dxa"/>
              <w:left w:w="51" w:type="dxa"/>
              <w:bottom w:w="0" w:type="dxa"/>
              <w:right w:w="51" w:type="dxa"/>
            </w:tcMar>
            <w:vAlign w:val="center"/>
          </w:tcPr>
          <w:p w14:paraId="50D4748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4.3媒体报道</w:t>
            </w:r>
          </w:p>
        </w:tc>
        <w:tc>
          <w:tcPr>
            <w:tcW w:w="1728" w:type="dxa"/>
            <w:noWrap w:val="0"/>
            <w:tcMar>
              <w:top w:w="0" w:type="dxa"/>
              <w:left w:w="51" w:type="dxa"/>
              <w:bottom w:w="0" w:type="dxa"/>
              <w:right w:w="51" w:type="dxa"/>
            </w:tcMar>
            <w:vAlign w:val="center"/>
          </w:tcPr>
          <w:p w14:paraId="37BAB11D">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因因运营服务质量好，被国家级主流媒体肯定性报道情况。</w:t>
            </w:r>
          </w:p>
        </w:tc>
        <w:tc>
          <w:tcPr>
            <w:tcW w:w="8500" w:type="dxa"/>
            <w:noWrap w:val="0"/>
            <w:tcMar>
              <w:top w:w="0" w:type="dxa"/>
              <w:left w:w="51" w:type="dxa"/>
              <w:bottom w:w="0" w:type="dxa"/>
              <w:right w:w="51" w:type="dxa"/>
            </w:tcMar>
            <w:vAlign w:val="center"/>
          </w:tcPr>
          <w:p w14:paraId="7FAA52D1">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1.因高速公路运营服务质量好，被国家级主流媒体肯定性报道的加0.5分/次，被省级主流媒体肯定性报道的加0.2分/次。</w:t>
            </w:r>
          </w:p>
        </w:tc>
        <w:tc>
          <w:tcPr>
            <w:tcW w:w="1083" w:type="dxa"/>
            <w:vMerge w:val="continue"/>
            <w:noWrap w:val="0"/>
            <w:tcMar>
              <w:top w:w="0" w:type="dxa"/>
              <w:left w:w="51" w:type="dxa"/>
              <w:bottom w:w="0" w:type="dxa"/>
              <w:right w:w="51" w:type="dxa"/>
            </w:tcMar>
            <w:vAlign w:val="center"/>
          </w:tcPr>
          <w:p w14:paraId="78C383A5">
            <w:pPr>
              <w:jc w:val="center"/>
              <w:rPr>
                <w:rFonts w:hint="default" w:ascii="Times New Roman" w:hAnsi="Times New Roman" w:eastAsia="仿宋_GB2312" w:cs="Times New Roman"/>
                <w:i w:val="0"/>
                <w:iCs w:val="0"/>
                <w:color w:val="000000"/>
                <w:sz w:val="20"/>
                <w:szCs w:val="20"/>
                <w:u w:val="none"/>
              </w:rPr>
            </w:pPr>
          </w:p>
        </w:tc>
        <w:tc>
          <w:tcPr>
            <w:tcW w:w="1252" w:type="dxa"/>
            <w:noWrap w:val="0"/>
            <w:tcMar>
              <w:top w:w="0" w:type="dxa"/>
              <w:left w:w="51" w:type="dxa"/>
              <w:bottom w:w="0" w:type="dxa"/>
              <w:right w:w="51" w:type="dxa"/>
            </w:tcMar>
            <w:vAlign w:val="center"/>
          </w:tcPr>
          <w:p w14:paraId="163A1E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r w14:paraId="66BF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245" w:type="dxa"/>
            <w:noWrap w:val="0"/>
            <w:tcMar>
              <w:top w:w="0" w:type="dxa"/>
              <w:left w:w="51" w:type="dxa"/>
              <w:bottom w:w="0" w:type="dxa"/>
              <w:right w:w="51" w:type="dxa"/>
            </w:tcMar>
            <w:vAlign w:val="center"/>
          </w:tcPr>
          <w:p w14:paraId="21199ECA">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4.4工作主动</w:t>
            </w:r>
          </w:p>
        </w:tc>
        <w:tc>
          <w:tcPr>
            <w:tcW w:w="1728" w:type="dxa"/>
            <w:noWrap w:val="0"/>
            <w:tcMar>
              <w:top w:w="0" w:type="dxa"/>
              <w:left w:w="51" w:type="dxa"/>
              <w:bottom w:w="0" w:type="dxa"/>
              <w:right w:w="51" w:type="dxa"/>
            </w:tcMar>
            <w:vAlign w:val="center"/>
          </w:tcPr>
          <w:p w14:paraId="51DFF5B2">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主动发现问题，主动解决问题</w:t>
            </w:r>
          </w:p>
        </w:tc>
        <w:tc>
          <w:tcPr>
            <w:tcW w:w="8500" w:type="dxa"/>
            <w:noWrap w:val="0"/>
            <w:tcMar>
              <w:top w:w="0" w:type="dxa"/>
              <w:left w:w="51" w:type="dxa"/>
              <w:bottom w:w="0" w:type="dxa"/>
              <w:right w:w="51" w:type="dxa"/>
            </w:tcMar>
            <w:vAlign w:val="center"/>
          </w:tcPr>
          <w:p w14:paraId="2D7C172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1.及时主动发现危及高速公路安全的红线外地灾安全隐患，并积极按“一路四方”机制完成处治工作，加0.5分/处。突发事件处置及时，避免了更大损失和伤害，受到县级及以上政府相关部门表扬，加0.2分/次。</w:t>
            </w:r>
          </w:p>
          <w:p w14:paraId="5ADB7544">
            <w:pPr>
              <w:keepNext w:val="0"/>
              <w:keepLines w:val="0"/>
              <w:widowControl/>
              <w:suppressLineNumbers w:val="0"/>
              <w:jc w:val="left"/>
              <w:textAlignment w:val="center"/>
              <w:rPr>
                <w:rFonts w:hint="default" w:ascii="Times New Roman" w:hAnsi="Times New Roman" w:eastAsia="仿宋_GB2312" w:cs="Times New Roman"/>
                <w:lang w:val="en-US" w:eastAsia="zh-CN" w:bidi="ar"/>
              </w:rPr>
            </w:pPr>
            <w:r>
              <w:rPr>
                <w:rFonts w:hint="default" w:ascii="Times New Roman" w:hAnsi="Times New Roman" w:eastAsia="仿宋_GB2312" w:cs="Times New Roman"/>
                <w:color w:val="000000"/>
                <w:sz w:val="20"/>
                <w:szCs w:val="20"/>
                <w:u w:val="none"/>
                <w:lang w:val="en-US" w:eastAsia="zh-CN" w:bidi="ar"/>
              </w:rPr>
              <w:t>2.积极承担部省新技术试点任务，主动探索研究新技术并实现应用，加0.5分；配合完成隧道手机信号覆盖工作，加0.2分/座；完成机电交工验收工作，加0.5分。</w:t>
            </w:r>
          </w:p>
          <w:p w14:paraId="0E066890">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color w:val="000000"/>
                <w:sz w:val="20"/>
                <w:szCs w:val="20"/>
                <w:u w:val="none"/>
                <w:lang w:val="en-US" w:eastAsia="zh-CN" w:bidi="ar"/>
              </w:rPr>
              <w:t>3.重大节假日、重大活动等保通保畅工作被上级肯定、表扬，加0.2分。</w:t>
            </w:r>
          </w:p>
        </w:tc>
        <w:tc>
          <w:tcPr>
            <w:tcW w:w="1083" w:type="dxa"/>
            <w:vMerge w:val="continue"/>
            <w:noWrap w:val="0"/>
            <w:tcMar>
              <w:top w:w="0" w:type="dxa"/>
              <w:left w:w="51" w:type="dxa"/>
              <w:bottom w:w="0" w:type="dxa"/>
              <w:right w:w="51" w:type="dxa"/>
            </w:tcMar>
            <w:vAlign w:val="center"/>
          </w:tcPr>
          <w:p w14:paraId="6A062ADF">
            <w:pPr>
              <w:jc w:val="center"/>
              <w:rPr>
                <w:rFonts w:hint="default" w:ascii="Times New Roman" w:hAnsi="Times New Roman" w:eastAsia="仿宋_GB2312" w:cs="Times New Roman"/>
                <w:i w:val="0"/>
                <w:iCs w:val="0"/>
                <w:color w:val="000000"/>
                <w:sz w:val="20"/>
                <w:szCs w:val="20"/>
                <w:u w:val="none"/>
              </w:rPr>
            </w:pPr>
          </w:p>
        </w:tc>
        <w:tc>
          <w:tcPr>
            <w:tcW w:w="1252" w:type="dxa"/>
            <w:noWrap w:val="0"/>
            <w:tcMar>
              <w:top w:w="0" w:type="dxa"/>
              <w:left w:w="51" w:type="dxa"/>
              <w:bottom w:w="0" w:type="dxa"/>
              <w:right w:w="51" w:type="dxa"/>
            </w:tcMar>
            <w:vAlign w:val="center"/>
          </w:tcPr>
          <w:p w14:paraId="38FBB2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执法总队</w:t>
            </w:r>
          </w:p>
        </w:tc>
      </w:tr>
    </w:tbl>
    <w:p w14:paraId="7D3FB05D">
      <w:pPr>
        <w:rPr>
          <w:rFonts w:hint="default" w:ascii="Times New Roman" w:hAnsi="Times New Roman" w:eastAsia="方正小标宋_GBK" w:cs="Times New Roman"/>
          <w:i w:val="0"/>
          <w:iCs w:val="0"/>
          <w:color w:val="000000"/>
          <w:kern w:val="0"/>
          <w:sz w:val="48"/>
          <w:szCs w:val="48"/>
          <w:u w:val="none"/>
          <w:lang w:val="en-US" w:eastAsia="zh-CN" w:bidi="ar"/>
        </w:rPr>
      </w:pPr>
    </w:p>
    <w:p w14:paraId="6718FF86">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黑体" w:cs="Times New Roman"/>
          <w:b/>
          <w:bCs/>
          <w:spacing w:val="0"/>
          <w:sz w:val="36"/>
          <w:szCs w:val="36"/>
          <w:highlight w:val="none"/>
          <w:u w:val="none"/>
          <w:lang w:val="en-US" w:eastAsia="zh-CN"/>
        </w:rPr>
      </w:pPr>
    </w:p>
    <w:p w14:paraId="3736202E"/>
    <w:sectPr>
      <w:footerReference r:id="rId3" w:type="default"/>
      <w:pgSz w:w="16838" w:h="11906" w:orient="landscape"/>
      <w:pgMar w:top="1531" w:right="1440" w:bottom="1531"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C92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902A84">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12902A84">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4626"/>
    <w:rsid w:val="4D10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99"/>
    <w:pPr>
      <w:ind w:firstLine="420"/>
    </w:pPr>
    <w:rPr>
      <w:szCs w:val="22"/>
    </w:rPr>
  </w:style>
  <w:style w:type="paragraph" w:customStyle="1" w:styleId="3">
    <w:name w:val="Body Text Indent1"/>
    <w:basedOn w:val="1"/>
    <w:next w:val="2"/>
    <w:qFormat/>
    <w:uiPriority w:val="0"/>
    <w:pPr>
      <w:spacing w:line="500" w:lineRule="exact"/>
      <w:ind w:firstLine="880" w:firstLineChars="200"/>
    </w:pPr>
    <w:rPr>
      <w:rFonts w:ascii="Times New Roman" w:hAnsi="Times New Roman" w:eastAsia="宋体" w:cs="Times New Roman"/>
      <w:szCs w:val="20"/>
    </w:rPr>
  </w:style>
  <w:style w:type="paragraph" w:styleId="4">
    <w:name w:val="Body Text"/>
    <w:basedOn w:val="1"/>
    <w:next w:val="1"/>
    <w:qFormat/>
    <w:uiPriority w:val="0"/>
    <w:pPr>
      <w:widowControl w:val="0"/>
      <w:jc w:val="both"/>
    </w:pPr>
    <w:rPr>
      <w:rFonts w:ascii="Times New Roman" w:hAnsi="Times New Roman" w:eastAsia="宋体" w:cs="宋体"/>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2025-05-07T02:00:00Z</dcterms:created>
  <dc:creator>之一</dc:creator>
  <cp:lastModifiedBy>之一</cp:lastModifiedBy>
  <dcterms:modified xsi:type="dcterms:W3CDTF">2025-05-07T02:06:48Z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4F86FFA1123C4945980ECF8F5C8F348E_11</vt:lpwstr>
  </property>
  <property fmtid="{D5CDD505-2E9C-101B-9397-08002B2CF9AE}" pid="4" name="KSOTemplateDocerSaveRecord">
    <vt:lpwstr>eyJoZGlkIjoiN2YzY2IyMzQ0MTA3YjcwZWQyNjFkN2M2MmY0MTI3MGEiLCJ1c2VySWQiOiI4MjM2MTM3NjkifQ==</vt:lpwstr>
  </property>
</Properties>
</file>