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5B644">
      <w:pPr>
        <w:pStyle w:val="2"/>
        <w:spacing w:after="0" w:line="5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5C93FED5">
      <w:pPr>
        <w:pStyle w:val="2"/>
        <w:spacing w:after="0" w:line="500" w:lineRule="exact"/>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表1  四川省高速公路投资人年度信用评价评分标准（项目履约）</w:t>
      </w:r>
    </w:p>
    <w:tbl>
      <w:tblPr>
        <w:tblStyle w:val="4"/>
        <w:tblW w:w="1445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434"/>
        <w:gridCol w:w="1044"/>
        <w:gridCol w:w="1294"/>
        <w:gridCol w:w="1220"/>
        <w:gridCol w:w="4177"/>
        <w:gridCol w:w="5286"/>
      </w:tblGrid>
      <w:tr w14:paraId="0F4CBA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1" w:hRule="atLeast"/>
          <w:tblHeader/>
          <w:jc w:val="center"/>
        </w:trPr>
        <w:tc>
          <w:tcPr>
            <w:tcW w:w="1434" w:type="dxa"/>
            <w:tcBorders>
              <w:bottom w:val="single" w:color="auto" w:sz="4" w:space="0"/>
              <w:right w:val="single" w:color="000000" w:sz="4" w:space="0"/>
            </w:tcBorders>
            <w:noWrap w:val="0"/>
            <w:vAlign w:val="center"/>
          </w:tcPr>
          <w:p w14:paraId="717DD4CE">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一级指标</w:t>
            </w:r>
          </w:p>
        </w:tc>
        <w:tc>
          <w:tcPr>
            <w:tcW w:w="1044" w:type="dxa"/>
            <w:tcBorders>
              <w:left w:val="single" w:color="000000" w:sz="4" w:space="0"/>
              <w:bottom w:val="single" w:color="auto" w:sz="4" w:space="0"/>
              <w:right w:val="single" w:color="000000" w:sz="4" w:space="0"/>
            </w:tcBorders>
            <w:noWrap w:val="0"/>
            <w:vAlign w:val="center"/>
          </w:tcPr>
          <w:p w14:paraId="4028BC8B">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二级指标</w:t>
            </w:r>
          </w:p>
        </w:tc>
        <w:tc>
          <w:tcPr>
            <w:tcW w:w="1294" w:type="dxa"/>
            <w:tcBorders>
              <w:left w:val="single" w:color="000000" w:sz="4" w:space="0"/>
              <w:bottom w:val="single" w:color="auto" w:sz="4" w:space="0"/>
              <w:right w:val="single" w:color="000000" w:sz="4" w:space="0"/>
            </w:tcBorders>
            <w:noWrap w:val="0"/>
            <w:vAlign w:val="center"/>
          </w:tcPr>
          <w:p w14:paraId="70E522A0">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三级指标</w:t>
            </w:r>
          </w:p>
        </w:tc>
        <w:tc>
          <w:tcPr>
            <w:tcW w:w="1220" w:type="dxa"/>
            <w:tcBorders>
              <w:left w:val="single" w:color="000000" w:sz="4" w:space="0"/>
              <w:bottom w:val="single" w:color="auto" w:sz="4" w:space="0"/>
              <w:right w:val="single" w:color="000000" w:sz="4" w:space="0"/>
            </w:tcBorders>
            <w:noWrap w:val="0"/>
            <w:vAlign w:val="center"/>
          </w:tcPr>
          <w:p w14:paraId="4DCEA7FC">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行为代码</w:t>
            </w:r>
          </w:p>
        </w:tc>
        <w:tc>
          <w:tcPr>
            <w:tcW w:w="4177" w:type="dxa"/>
            <w:tcBorders>
              <w:left w:val="single" w:color="000000" w:sz="4" w:space="0"/>
              <w:bottom w:val="single" w:color="auto" w:sz="4" w:space="0"/>
              <w:right w:val="single" w:color="000000" w:sz="4" w:space="0"/>
            </w:tcBorders>
            <w:noWrap w:val="0"/>
            <w:vAlign w:val="center"/>
          </w:tcPr>
          <w:p w14:paraId="13E481EF">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评价内容</w:t>
            </w:r>
          </w:p>
        </w:tc>
        <w:tc>
          <w:tcPr>
            <w:tcW w:w="5286" w:type="dxa"/>
            <w:tcBorders>
              <w:left w:val="single" w:color="000000" w:sz="4" w:space="0"/>
              <w:bottom w:val="single" w:color="auto" w:sz="4" w:space="0"/>
            </w:tcBorders>
            <w:noWrap w:val="0"/>
            <w:vAlign w:val="center"/>
          </w:tcPr>
          <w:p w14:paraId="0D7E8CFB">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评分标准</w:t>
            </w:r>
          </w:p>
        </w:tc>
      </w:tr>
      <w:tr w14:paraId="522CB4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75" w:hRule="atLeast"/>
          <w:jc w:val="center"/>
        </w:trPr>
        <w:tc>
          <w:tcPr>
            <w:tcW w:w="1434" w:type="dxa"/>
            <w:vMerge w:val="restart"/>
            <w:tcBorders>
              <w:top w:val="single" w:color="auto" w:sz="4" w:space="0"/>
              <w:bottom w:val="single" w:color="auto" w:sz="4" w:space="0"/>
              <w:right w:val="single" w:color="auto" w:sz="4" w:space="0"/>
            </w:tcBorders>
            <w:noWrap w:val="0"/>
            <w:vAlign w:val="center"/>
          </w:tcPr>
          <w:p w14:paraId="2B430337">
            <w:pPr>
              <w:widowControl/>
              <w:spacing w:line="260" w:lineRule="exact"/>
              <w:jc w:val="center"/>
              <w:textAlignment w:val="center"/>
              <w:rPr>
                <w:rFonts w:ascii="Times New Roman" w:hAnsi="Times New Roman" w:eastAsia="宋体" w:cs="Times New Roman"/>
                <w:kern w:val="0"/>
                <w:sz w:val="18"/>
                <w:szCs w:val="18"/>
                <w:lang w:bidi="ar"/>
              </w:rPr>
            </w:pPr>
          </w:p>
          <w:p w14:paraId="405CB06F">
            <w:pPr>
              <w:widowControl/>
              <w:spacing w:line="260" w:lineRule="exact"/>
              <w:jc w:val="center"/>
              <w:textAlignment w:val="center"/>
              <w:rPr>
                <w:rFonts w:ascii="Times New Roman" w:hAnsi="Times New Roman" w:eastAsia="宋体" w:cs="Times New Roman"/>
                <w:kern w:val="0"/>
                <w:sz w:val="18"/>
                <w:szCs w:val="18"/>
                <w:lang w:bidi="ar"/>
              </w:rPr>
            </w:pPr>
          </w:p>
          <w:p w14:paraId="13EEF370">
            <w:pPr>
              <w:widowControl/>
              <w:spacing w:line="260" w:lineRule="exact"/>
              <w:jc w:val="center"/>
              <w:textAlignment w:val="center"/>
              <w:rPr>
                <w:rFonts w:ascii="Times New Roman" w:hAnsi="Times New Roman" w:eastAsia="宋体" w:cs="Times New Roman"/>
                <w:kern w:val="0"/>
                <w:sz w:val="18"/>
                <w:szCs w:val="18"/>
                <w:lang w:bidi="ar"/>
              </w:rPr>
            </w:pPr>
          </w:p>
          <w:p w14:paraId="06AAA65C">
            <w:pPr>
              <w:widowControl/>
              <w:spacing w:line="260" w:lineRule="exact"/>
              <w:jc w:val="center"/>
              <w:textAlignment w:val="center"/>
              <w:rPr>
                <w:rFonts w:ascii="Times New Roman" w:hAnsi="Times New Roman" w:eastAsia="宋体" w:cs="Times New Roman"/>
                <w:kern w:val="0"/>
                <w:sz w:val="18"/>
                <w:szCs w:val="18"/>
                <w:lang w:bidi="ar"/>
              </w:rPr>
            </w:pPr>
          </w:p>
          <w:p w14:paraId="628FB2BD">
            <w:pPr>
              <w:widowControl/>
              <w:spacing w:line="260" w:lineRule="exact"/>
              <w:jc w:val="center"/>
              <w:textAlignment w:val="center"/>
              <w:rPr>
                <w:rFonts w:ascii="Times New Roman" w:hAnsi="Times New Roman" w:eastAsia="宋体" w:cs="Times New Roman"/>
                <w:kern w:val="0"/>
                <w:sz w:val="18"/>
                <w:szCs w:val="18"/>
                <w:lang w:bidi="ar"/>
              </w:rPr>
            </w:pPr>
          </w:p>
          <w:p w14:paraId="24902EA4">
            <w:pPr>
              <w:widowControl/>
              <w:spacing w:line="260" w:lineRule="exact"/>
              <w:jc w:val="center"/>
              <w:textAlignment w:val="center"/>
              <w:rPr>
                <w:rFonts w:ascii="Times New Roman" w:hAnsi="Times New Roman" w:eastAsia="宋体" w:cs="Times New Roman"/>
                <w:kern w:val="0"/>
                <w:sz w:val="18"/>
                <w:szCs w:val="18"/>
                <w:lang w:bidi="ar"/>
              </w:rPr>
            </w:pPr>
          </w:p>
          <w:p w14:paraId="239274D5">
            <w:pPr>
              <w:widowControl/>
              <w:spacing w:line="260" w:lineRule="exact"/>
              <w:jc w:val="center"/>
              <w:textAlignment w:val="center"/>
              <w:rPr>
                <w:rFonts w:ascii="Times New Roman" w:hAnsi="Times New Roman" w:eastAsia="宋体" w:cs="Times New Roman"/>
                <w:kern w:val="0"/>
                <w:sz w:val="18"/>
                <w:szCs w:val="18"/>
                <w:lang w:bidi="ar"/>
              </w:rPr>
            </w:pPr>
          </w:p>
          <w:p w14:paraId="52E82AFD">
            <w:pPr>
              <w:pStyle w:val="2"/>
              <w:jc w:val="center"/>
              <w:rPr>
                <w:rFonts w:ascii="Times New Roman" w:hAnsi="Times New Roman" w:eastAsia="宋体" w:cs="Times New Roman"/>
                <w:lang w:bidi="ar"/>
              </w:rPr>
            </w:pPr>
          </w:p>
          <w:p w14:paraId="2C87CF24">
            <w:pPr>
              <w:jc w:val="center"/>
              <w:rPr>
                <w:rFonts w:ascii="Times New Roman" w:hAnsi="Times New Roman" w:eastAsia="宋体" w:cs="Times New Roman"/>
              </w:rPr>
            </w:pPr>
          </w:p>
          <w:p w14:paraId="5B4C9145">
            <w:pPr>
              <w:pStyle w:val="2"/>
              <w:widowControl/>
              <w:spacing w:line="260" w:lineRule="exact"/>
              <w:jc w:val="center"/>
              <w:textAlignment w:val="center"/>
              <w:rPr>
                <w:rFonts w:ascii="Times New Roman" w:hAnsi="Times New Roman" w:eastAsia="宋体" w:cs="Times New Roman"/>
                <w:lang w:bidi="ar"/>
              </w:rPr>
            </w:pPr>
          </w:p>
          <w:p w14:paraId="53F539A2">
            <w:pPr>
              <w:widowControl/>
              <w:spacing w:line="260" w:lineRule="exact"/>
              <w:jc w:val="center"/>
              <w:textAlignment w:val="center"/>
              <w:rPr>
                <w:rFonts w:ascii="Times New Roman" w:hAnsi="Times New Roman" w:eastAsia="宋体" w:cs="Times New Roman"/>
                <w:kern w:val="0"/>
                <w:sz w:val="18"/>
                <w:szCs w:val="18"/>
                <w:lang w:bidi="ar"/>
              </w:rPr>
            </w:pPr>
          </w:p>
          <w:p w14:paraId="72696CF5">
            <w:pPr>
              <w:widowControl/>
              <w:spacing w:line="260" w:lineRule="exact"/>
              <w:jc w:val="center"/>
              <w:textAlignment w:val="center"/>
              <w:rPr>
                <w:rFonts w:ascii="Times New Roman" w:hAnsi="Times New Roman" w:eastAsia="宋体" w:cs="Times New Roman"/>
                <w:kern w:val="0"/>
                <w:sz w:val="18"/>
                <w:szCs w:val="18"/>
                <w:lang w:bidi="ar"/>
              </w:rPr>
            </w:pPr>
          </w:p>
          <w:p w14:paraId="40C9E056">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项目准备</w:t>
            </w:r>
            <w:r>
              <w:rPr>
                <w:rFonts w:hint="default" w:ascii="Times New Roman" w:hAnsi="Times New Roman" w:eastAsia="宋体" w:cs="Times New Roman"/>
                <w:kern w:val="0"/>
                <w:sz w:val="18"/>
                <w:szCs w:val="18"/>
                <w:lang w:bidi="ar"/>
              </w:rPr>
              <w:t>阶段</w:t>
            </w:r>
          </w:p>
          <w:p w14:paraId="67E16D46">
            <w:pPr>
              <w:pStyle w:val="2"/>
              <w:spacing w:after="0" w:line="260" w:lineRule="exact"/>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（满分50分）</w:t>
            </w:r>
          </w:p>
          <w:p w14:paraId="73519D3D">
            <w:pPr>
              <w:pStyle w:val="2"/>
              <w:spacing w:after="0" w:line="260" w:lineRule="exact"/>
              <w:jc w:val="center"/>
              <w:rPr>
                <w:rFonts w:ascii="Times New Roman" w:hAnsi="Times New Roman" w:eastAsia="宋体" w:cs="Times New Roman"/>
                <w:kern w:val="0"/>
                <w:sz w:val="18"/>
                <w:szCs w:val="18"/>
                <w:lang w:bidi="ar"/>
              </w:rPr>
            </w:pPr>
          </w:p>
          <w:p w14:paraId="6E2A4A05">
            <w:pPr>
              <w:pStyle w:val="2"/>
              <w:spacing w:after="0" w:line="260" w:lineRule="exact"/>
              <w:jc w:val="center"/>
              <w:rPr>
                <w:rFonts w:ascii="Times New Roman" w:hAnsi="Times New Roman" w:eastAsia="宋体" w:cs="Times New Roman"/>
                <w:kern w:val="0"/>
                <w:sz w:val="18"/>
                <w:szCs w:val="18"/>
                <w:lang w:bidi="ar"/>
              </w:rPr>
            </w:pPr>
          </w:p>
          <w:p w14:paraId="7BC72255">
            <w:pPr>
              <w:jc w:val="center"/>
              <w:rPr>
                <w:rFonts w:ascii="Times New Roman" w:hAnsi="Times New Roman" w:eastAsia="宋体" w:cs="Times New Roman"/>
              </w:rPr>
            </w:pPr>
          </w:p>
          <w:p w14:paraId="4C051AED">
            <w:pPr>
              <w:pStyle w:val="2"/>
              <w:spacing w:after="0" w:line="260" w:lineRule="exact"/>
              <w:jc w:val="center"/>
              <w:rPr>
                <w:rFonts w:ascii="Times New Roman" w:hAnsi="Times New Roman" w:eastAsia="宋体" w:cs="Times New Roman"/>
                <w:kern w:val="0"/>
                <w:sz w:val="18"/>
                <w:szCs w:val="18"/>
                <w:lang w:bidi="ar"/>
              </w:rPr>
            </w:pPr>
          </w:p>
          <w:p w14:paraId="6C7A5F30">
            <w:pPr>
              <w:pStyle w:val="2"/>
              <w:spacing w:after="0" w:line="260" w:lineRule="exact"/>
              <w:jc w:val="center"/>
              <w:rPr>
                <w:rFonts w:ascii="Times New Roman" w:hAnsi="Times New Roman" w:eastAsia="宋体" w:cs="Times New Roman"/>
                <w:kern w:val="0"/>
                <w:sz w:val="18"/>
                <w:szCs w:val="18"/>
                <w:lang w:bidi="ar"/>
              </w:rPr>
            </w:pPr>
          </w:p>
          <w:p w14:paraId="2CF65343">
            <w:pPr>
              <w:pStyle w:val="2"/>
              <w:spacing w:after="0" w:line="260" w:lineRule="exact"/>
              <w:jc w:val="center"/>
              <w:rPr>
                <w:rFonts w:ascii="Times New Roman" w:hAnsi="Times New Roman" w:eastAsia="宋体" w:cs="Times New Roman"/>
                <w:kern w:val="0"/>
                <w:sz w:val="18"/>
                <w:szCs w:val="18"/>
                <w:lang w:bidi="ar"/>
              </w:rPr>
            </w:pPr>
          </w:p>
          <w:p w14:paraId="59A9F708">
            <w:pPr>
              <w:pStyle w:val="2"/>
              <w:spacing w:after="0" w:line="260" w:lineRule="exact"/>
              <w:jc w:val="center"/>
              <w:rPr>
                <w:rFonts w:ascii="Times New Roman" w:hAnsi="Times New Roman" w:eastAsia="宋体" w:cs="Times New Roman"/>
                <w:kern w:val="0"/>
                <w:sz w:val="18"/>
                <w:szCs w:val="18"/>
                <w:lang w:bidi="ar"/>
              </w:rPr>
            </w:pPr>
          </w:p>
          <w:p w14:paraId="3CDF9EBB">
            <w:pPr>
              <w:pStyle w:val="2"/>
              <w:spacing w:after="0" w:line="260" w:lineRule="exact"/>
              <w:jc w:val="center"/>
              <w:rPr>
                <w:rFonts w:ascii="Times New Roman" w:hAnsi="Times New Roman" w:eastAsia="宋体" w:cs="Times New Roman"/>
                <w:kern w:val="0"/>
                <w:sz w:val="18"/>
                <w:szCs w:val="18"/>
                <w:lang w:bidi="ar"/>
              </w:rPr>
            </w:pPr>
          </w:p>
          <w:p w14:paraId="02A6BC38">
            <w:pPr>
              <w:pStyle w:val="2"/>
              <w:spacing w:after="0" w:line="260" w:lineRule="exact"/>
              <w:jc w:val="center"/>
              <w:rPr>
                <w:rFonts w:ascii="Times New Roman" w:hAnsi="Times New Roman" w:eastAsia="宋体" w:cs="Times New Roman"/>
                <w:kern w:val="0"/>
                <w:sz w:val="18"/>
                <w:szCs w:val="18"/>
                <w:lang w:bidi="ar"/>
              </w:rPr>
            </w:pPr>
          </w:p>
          <w:p w14:paraId="2D755B24">
            <w:pPr>
              <w:pStyle w:val="2"/>
              <w:spacing w:after="0" w:line="260" w:lineRule="exact"/>
              <w:jc w:val="center"/>
              <w:rPr>
                <w:rFonts w:ascii="Times New Roman" w:hAnsi="Times New Roman" w:eastAsia="宋体" w:cs="Times New Roman"/>
                <w:kern w:val="0"/>
                <w:sz w:val="18"/>
                <w:szCs w:val="18"/>
                <w:lang w:bidi="ar"/>
              </w:rPr>
            </w:pPr>
          </w:p>
          <w:p w14:paraId="52A23941">
            <w:pPr>
              <w:jc w:val="center"/>
              <w:rPr>
                <w:rFonts w:ascii="Times New Roman" w:hAnsi="Times New Roman" w:eastAsia="宋体" w:cs="Times New Roman"/>
              </w:rPr>
            </w:pPr>
          </w:p>
          <w:p w14:paraId="7A7742BC">
            <w:pPr>
              <w:jc w:val="center"/>
              <w:rPr>
                <w:rFonts w:ascii="Times New Roman" w:hAnsi="Times New Roman" w:eastAsia="宋体" w:cs="Times New Roman"/>
              </w:rPr>
            </w:pPr>
          </w:p>
          <w:p w14:paraId="51559B68">
            <w:pPr>
              <w:jc w:val="center"/>
              <w:rPr>
                <w:rFonts w:ascii="Times New Roman" w:hAnsi="Times New Roman" w:eastAsia="宋体" w:cs="Times New Roman"/>
              </w:rPr>
            </w:pPr>
          </w:p>
          <w:p w14:paraId="6CFCFE8E">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（续前页）</w:t>
            </w:r>
          </w:p>
          <w:p w14:paraId="32A2D5A2">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项目准备</w:t>
            </w:r>
            <w:r>
              <w:rPr>
                <w:rFonts w:hint="default" w:ascii="Times New Roman" w:hAnsi="Times New Roman" w:eastAsia="宋体" w:cs="Times New Roman"/>
                <w:kern w:val="0"/>
                <w:sz w:val="18"/>
                <w:szCs w:val="18"/>
                <w:lang w:bidi="ar"/>
              </w:rPr>
              <w:t>阶段</w:t>
            </w:r>
          </w:p>
          <w:p w14:paraId="7BB599BC">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（满分50分）</w:t>
            </w:r>
          </w:p>
        </w:tc>
        <w:tc>
          <w:tcPr>
            <w:tcW w:w="1044" w:type="dxa"/>
            <w:vMerge w:val="restart"/>
            <w:tcBorders>
              <w:top w:val="single" w:color="auto" w:sz="4" w:space="0"/>
              <w:left w:val="single" w:color="auto" w:sz="4" w:space="0"/>
              <w:right w:val="single" w:color="auto" w:sz="4" w:space="0"/>
            </w:tcBorders>
            <w:noWrap w:val="0"/>
            <w:vAlign w:val="center"/>
          </w:tcPr>
          <w:p w14:paraId="748CBA8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投资协议</w:t>
            </w:r>
          </w:p>
        </w:tc>
        <w:tc>
          <w:tcPr>
            <w:tcW w:w="1294" w:type="dxa"/>
            <w:tcBorders>
              <w:top w:val="single" w:color="auto" w:sz="4" w:space="0"/>
              <w:left w:val="single" w:color="auto" w:sz="4" w:space="0"/>
              <w:right w:val="single" w:color="auto" w:sz="4" w:space="0"/>
            </w:tcBorders>
            <w:noWrap w:val="0"/>
            <w:vAlign w:val="center"/>
          </w:tcPr>
          <w:p w14:paraId="140C93B7">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项目公司组建</w:t>
            </w:r>
          </w:p>
        </w:tc>
        <w:tc>
          <w:tcPr>
            <w:tcW w:w="1220" w:type="dxa"/>
            <w:tcBorders>
              <w:top w:val="single" w:color="auto" w:sz="4" w:space="0"/>
              <w:left w:val="single" w:color="auto" w:sz="4" w:space="0"/>
              <w:right w:val="single" w:color="auto" w:sz="4" w:space="0"/>
            </w:tcBorders>
            <w:noWrap w:val="0"/>
            <w:vAlign w:val="center"/>
          </w:tcPr>
          <w:p w14:paraId="2732014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GSTZ-2-1-01</w:t>
            </w:r>
          </w:p>
        </w:tc>
        <w:tc>
          <w:tcPr>
            <w:tcW w:w="4177" w:type="dxa"/>
            <w:tcBorders>
              <w:top w:val="single" w:color="auto" w:sz="4" w:space="0"/>
              <w:left w:val="single" w:color="auto" w:sz="4" w:space="0"/>
              <w:right w:val="single" w:color="auto" w:sz="4" w:space="0"/>
            </w:tcBorders>
            <w:noWrap w:val="0"/>
            <w:vAlign w:val="center"/>
          </w:tcPr>
          <w:p w14:paraId="45AAB73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因投资人原因，未按规定组建项目公司并报备，或签署特许经营协议超出规定时限的。</w:t>
            </w:r>
          </w:p>
        </w:tc>
        <w:tc>
          <w:tcPr>
            <w:tcW w:w="5286" w:type="dxa"/>
            <w:tcBorders>
              <w:top w:val="single" w:color="auto" w:sz="4" w:space="0"/>
              <w:left w:val="single" w:color="auto" w:sz="4" w:space="0"/>
              <w:bottom w:val="single" w:color="auto" w:sz="4" w:space="0"/>
            </w:tcBorders>
            <w:noWrap w:val="0"/>
            <w:vAlign w:val="center"/>
          </w:tcPr>
          <w:p w14:paraId="09C8F63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注册项目公司时，各方持有的股权比例与投标时提交的《联合体协议书》确定的持股比例不一致的，扣5分；项目公司注册资金与投资协议约定不一致的，扣3分；未及时组建的，扣2分；组建的项目公司标准与投资协议或交通运输厅的有关标准不一致的，扣2分；签署特许经营协议超出规定时限的，扣2分；组建项目公司的相关资料未按要求报备的，扣1分。</w:t>
            </w:r>
          </w:p>
        </w:tc>
      </w:tr>
      <w:tr w14:paraId="677F2F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93"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5A7F38AD">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auto" w:sz="4" w:space="0"/>
              <w:right w:val="single" w:color="auto" w:sz="4" w:space="0"/>
            </w:tcBorders>
            <w:noWrap w:val="0"/>
            <w:vAlign w:val="center"/>
          </w:tcPr>
          <w:p w14:paraId="4789C942">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413829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监管制度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9EFCB3">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GSTZ-2-1-02</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110A991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投资人未建立对项目公司履职的监督约束和责任追究机制，或同一项目未执行统一的建设管理制度和标准。</w:t>
            </w:r>
          </w:p>
        </w:tc>
        <w:tc>
          <w:tcPr>
            <w:tcW w:w="5286" w:type="dxa"/>
            <w:tcBorders>
              <w:top w:val="single" w:color="auto" w:sz="4" w:space="0"/>
              <w:left w:val="single" w:color="auto" w:sz="4" w:space="0"/>
              <w:bottom w:val="single" w:color="auto" w:sz="4" w:space="0"/>
            </w:tcBorders>
            <w:noWrap w:val="0"/>
            <w:vAlign w:val="center"/>
          </w:tcPr>
          <w:p w14:paraId="242E1DC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未建立对项目公司履职的监督约束和责任追究机制，扣1分；同一项目未执行统一的建设管理制度和标准，扣3分。</w:t>
            </w:r>
          </w:p>
        </w:tc>
      </w:tr>
      <w:tr w14:paraId="274BBB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8"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0881DFDA">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auto" w:sz="4" w:space="0"/>
              <w:right w:val="single" w:color="auto" w:sz="4" w:space="0"/>
            </w:tcBorders>
            <w:noWrap w:val="0"/>
            <w:vAlign w:val="center"/>
          </w:tcPr>
          <w:p w14:paraId="42505285">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9370BE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股东权利</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59FC4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GSTZ-2-1-03</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2E94408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投资人未依法保障建设项目法人独立管理地位，或违规干预项目公司履行项目法人主体责任，利用股东权利损害项目公司权益的。</w:t>
            </w:r>
          </w:p>
        </w:tc>
        <w:tc>
          <w:tcPr>
            <w:tcW w:w="5286" w:type="dxa"/>
            <w:tcBorders>
              <w:top w:val="single" w:color="auto" w:sz="4" w:space="0"/>
              <w:left w:val="single" w:color="auto" w:sz="4" w:space="0"/>
              <w:bottom w:val="single" w:color="auto" w:sz="4" w:space="0"/>
            </w:tcBorders>
            <w:noWrap w:val="0"/>
            <w:vAlign w:val="center"/>
          </w:tcPr>
          <w:p w14:paraId="6030746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未依法保障建设项目法人独立管理地位的，扣2分；违规干预项目公司履行项目法人主体责任，利用股东权利损害项目公司权益的，扣5分。</w:t>
            </w:r>
          </w:p>
        </w:tc>
      </w:tr>
      <w:tr w14:paraId="2B0EA8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35"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1A645BFA">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auto" w:sz="4" w:space="0"/>
              <w:right w:val="single" w:color="auto" w:sz="4" w:space="0"/>
            </w:tcBorders>
            <w:noWrap w:val="0"/>
            <w:vAlign w:val="center"/>
          </w:tcPr>
          <w:p w14:paraId="1CC56061">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90A3C07">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项目开工</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07B765">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GSTZ-2-1-04</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5F3B6AB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因投资人原因，影响项目开工，造成准备期延长的。</w:t>
            </w:r>
          </w:p>
        </w:tc>
        <w:tc>
          <w:tcPr>
            <w:tcW w:w="5286" w:type="dxa"/>
            <w:tcBorders>
              <w:top w:val="single" w:color="auto" w:sz="4" w:space="0"/>
              <w:left w:val="single" w:color="auto" w:sz="4" w:space="0"/>
              <w:bottom w:val="single" w:color="auto" w:sz="4" w:space="0"/>
            </w:tcBorders>
            <w:noWrap w:val="0"/>
            <w:vAlign w:val="center"/>
          </w:tcPr>
          <w:p w14:paraId="26B1B1D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准备期延长3个月以内的，扣1分；准备期延长3</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至6</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个月的，扣3分；准备期延长6</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至12</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个月的，扣5分。</w:t>
            </w:r>
          </w:p>
        </w:tc>
      </w:tr>
      <w:tr w14:paraId="7DB910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6"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70C27BCB">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auto" w:sz="4" w:space="0"/>
              <w:right w:val="single" w:color="auto" w:sz="4" w:space="0"/>
            </w:tcBorders>
            <w:noWrap w:val="0"/>
            <w:vAlign w:val="center"/>
          </w:tcPr>
          <w:p w14:paraId="4724D69C">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F22080A">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资金筹措</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25AFB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GSTZ-2-1-05</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49629B1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投资人资本金来源不符合国家相关规定，或开工前资本金到位不满足投资协议约定，或未及时提供增信担保。</w:t>
            </w:r>
          </w:p>
        </w:tc>
        <w:tc>
          <w:tcPr>
            <w:tcW w:w="5286" w:type="dxa"/>
            <w:tcBorders>
              <w:top w:val="single" w:color="auto" w:sz="4" w:space="0"/>
              <w:left w:val="single" w:color="auto" w:sz="4" w:space="0"/>
              <w:bottom w:val="single" w:color="auto" w:sz="4" w:space="0"/>
            </w:tcBorders>
            <w:noWrap w:val="0"/>
            <w:vAlign w:val="center"/>
          </w:tcPr>
          <w:p w14:paraId="7E23029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发现资本金来源不符合规定，扣5分；资本金未按约定到位，且超期6个月内的，扣3分；未及时提供增信担保，导致项目融资资金不能及时到位，影响项目正常开工的，扣3分。</w:t>
            </w:r>
          </w:p>
        </w:tc>
      </w:tr>
      <w:tr w14:paraId="400F9A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21"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417B3309">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auto" w:sz="4" w:space="0"/>
              <w:bottom w:val="single" w:color="auto" w:sz="4" w:space="0"/>
              <w:right w:val="single" w:color="auto" w:sz="4" w:space="0"/>
            </w:tcBorders>
            <w:noWrap w:val="0"/>
            <w:vAlign w:val="center"/>
          </w:tcPr>
          <w:p w14:paraId="39E7CFCF">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B79A415">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股权转让</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6771B5">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GSTZ-2-1-06</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BBB0C6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投资人未按股权转让相关规定转让项目公司股权的。</w:t>
            </w:r>
          </w:p>
        </w:tc>
        <w:tc>
          <w:tcPr>
            <w:tcW w:w="5286" w:type="dxa"/>
            <w:tcBorders>
              <w:top w:val="single" w:color="auto" w:sz="4" w:space="0"/>
              <w:left w:val="single" w:color="auto" w:sz="4" w:space="0"/>
              <w:bottom w:val="single" w:color="auto" w:sz="4" w:space="0"/>
            </w:tcBorders>
            <w:noWrap w:val="0"/>
            <w:vAlign w:val="center"/>
          </w:tcPr>
          <w:p w14:paraId="4AE5211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项目公司股权转让不属于相关规定可以转让情形的，扣</w:t>
            </w:r>
            <w:r>
              <w:rPr>
                <w:rFonts w:hint="default" w:ascii="Times New Roman" w:hAnsi="Times New Roman" w:eastAsia="宋体" w:cs="Times New Roman"/>
                <w:kern w:val="0"/>
                <w:sz w:val="18"/>
                <w:szCs w:val="18"/>
                <w:lang w:bidi="ar"/>
              </w:rPr>
              <w:t>10</w:t>
            </w:r>
            <w:r>
              <w:rPr>
                <w:rFonts w:ascii="Times New Roman" w:hAnsi="Times New Roman" w:eastAsia="宋体" w:cs="Times New Roman"/>
                <w:kern w:val="0"/>
                <w:sz w:val="18"/>
                <w:szCs w:val="18"/>
                <w:lang w:bidi="ar"/>
              </w:rPr>
              <w:t>分；</w:t>
            </w:r>
          </w:p>
          <w:p w14:paraId="482C83D1">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股权转让程序不符合相关规定的，扣</w:t>
            </w:r>
            <w:r>
              <w:rPr>
                <w:rFonts w:hint="default"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分。</w:t>
            </w:r>
          </w:p>
        </w:tc>
      </w:tr>
      <w:tr w14:paraId="15C0BC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 w:hRule="atLeast"/>
          <w:jc w:val="center"/>
        </w:trPr>
        <w:tc>
          <w:tcPr>
            <w:tcW w:w="1434" w:type="dxa"/>
            <w:vMerge w:val="continue"/>
            <w:tcBorders>
              <w:top w:val="single" w:color="auto" w:sz="4" w:space="0"/>
              <w:right w:val="single" w:color="000000" w:sz="4" w:space="0"/>
            </w:tcBorders>
            <w:noWrap w:val="0"/>
            <w:vAlign w:val="center"/>
          </w:tcPr>
          <w:p w14:paraId="11AB5E9E">
            <w:pPr>
              <w:widowControl/>
              <w:spacing w:line="260" w:lineRule="exact"/>
              <w:jc w:val="center"/>
              <w:textAlignment w:val="center"/>
              <w:rPr>
                <w:rFonts w:ascii="Times New Roman" w:hAnsi="Times New Roman" w:eastAsia="宋体" w:cs="Times New Roman"/>
                <w:sz w:val="18"/>
                <w:szCs w:val="18"/>
              </w:rPr>
            </w:pPr>
          </w:p>
        </w:tc>
        <w:tc>
          <w:tcPr>
            <w:tcW w:w="1044" w:type="dxa"/>
            <w:vMerge w:val="restart"/>
            <w:tcBorders>
              <w:top w:val="single" w:color="auto" w:sz="4" w:space="0"/>
              <w:left w:val="single" w:color="000000" w:sz="4" w:space="0"/>
              <w:right w:val="single" w:color="000000" w:sz="4" w:space="0"/>
            </w:tcBorders>
            <w:noWrap w:val="0"/>
            <w:vAlign w:val="center"/>
          </w:tcPr>
          <w:p w14:paraId="191E4782">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监督管理</w:t>
            </w:r>
          </w:p>
        </w:tc>
        <w:tc>
          <w:tcPr>
            <w:tcW w:w="1294" w:type="dxa"/>
            <w:tcBorders>
              <w:top w:val="single" w:color="auto" w:sz="4" w:space="0"/>
              <w:left w:val="single" w:color="000000" w:sz="4" w:space="0"/>
              <w:right w:val="single" w:color="000000" w:sz="4" w:space="0"/>
            </w:tcBorders>
            <w:noWrap w:val="0"/>
            <w:vAlign w:val="center"/>
          </w:tcPr>
          <w:p w14:paraId="39C4D76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经费归垫</w:t>
            </w:r>
          </w:p>
        </w:tc>
        <w:tc>
          <w:tcPr>
            <w:tcW w:w="1220" w:type="dxa"/>
            <w:tcBorders>
              <w:top w:val="single" w:color="auto" w:sz="4" w:space="0"/>
              <w:left w:val="single" w:color="000000" w:sz="4" w:space="0"/>
              <w:right w:val="single" w:color="000000" w:sz="4" w:space="0"/>
            </w:tcBorders>
            <w:noWrap w:val="0"/>
            <w:vAlign w:val="center"/>
          </w:tcPr>
          <w:p w14:paraId="7C18322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GSTZ-2-1-07</w:t>
            </w:r>
          </w:p>
        </w:tc>
        <w:tc>
          <w:tcPr>
            <w:tcW w:w="4177" w:type="dxa"/>
            <w:tcBorders>
              <w:top w:val="single" w:color="auto" w:sz="4" w:space="0"/>
              <w:left w:val="single" w:color="000000" w:sz="4" w:space="0"/>
              <w:right w:val="single" w:color="000000" w:sz="4" w:space="0"/>
            </w:tcBorders>
            <w:noWrap w:val="0"/>
            <w:vAlign w:val="center"/>
          </w:tcPr>
          <w:p w14:paraId="779B6BD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因投资人原因，未及时归垫项目前期工作经费的。</w:t>
            </w:r>
          </w:p>
        </w:tc>
        <w:tc>
          <w:tcPr>
            <w:tcW w:w="5286" w:type="dxa"/>
            <w:tcBorders>
              <w:top w:val="single" w:color="auto" w:sz="4" w:space="0"/>
              <w:left w:val="single" w:color="000000" w:sz="4" w:space="0"/>
            </w:tcBorders>
            <w:noWrap w:val="0"/>
            <w:vAlign w:val="center"/>
          </w:tcPr>
          <w:p w14:paraId="24D8BFB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扣</w:t>
            </w:r>
            <w:r>
              <w:rPr>
                <w:rFonts w:hint="default"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分。</w:t>
            </w:r>
          </w:p>
        </w:tc>
      </w:tr>
      <w:tr w14:paraId="39C076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434" w:type="dxa"/>
            <w:vMerge w:val="continue"/>
            <w:tcBorders>
              <w:right w:val="single" w:color="000000" w:sz="4" w:space="0"/>
            </w:tcBorders>
            <w:noWrap w:val="0"/>
            <w:vAlign w:val="center"/>
          </w:tcPr>
          <w:p w14:paraId="5E0E9554">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000000" w:sz="4" w:space="0"/>
            </w:tcBorders>
            <w:noWrap w:val="0"/>
            <w:vAlign w:val="center"/>
          </w:tcPr>
          <w:p w14:paraId="6B27EA4B">
            <w:pPr>
              <w:spacing w:line="260" w:lineRule="exact"/>
              <w:jc w:val="center"/>
              <w:textAlignment w:val="center"/>
              <w:rPr>
                <w:rFonts w:ascii="Times New Roman" w:hAnsi="Times New Roman" w:eastAsia="宋体" w:cs="Times New Roman"/>
                <w:sz w:val="18"/>
                <w:szCs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FB84E2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项目法人履约</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3AF080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GSTZ-2-1-08</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35C2513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准备阶段项目法人履约不到位的。</w:t>
            </w:r>
          </w:p>
        </w:tc>
        <w:tc>
          <w:tcPr>
            <w:tcW w:w="5286" w:type="dxa"/>
            <w:tcBorders>
              <w:top w:val="single" w:color="000000" w:sz="4" w:space="0"/>
              <w:left w:val="single" w:color="000000" w:sz="4" w:space="0"/>
              <w:bottom w:val="single" w:color="000000" w:sz="4" w:space="0"/>
            </w:tcBorders>
            <w:noWrap w:val="0"/>
            <w:vAlign w:val="center"/>
          </w:tcPr>
          <w:p w14:paraId="081DD46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按四川省高速公路建设项目法人信用评价扣分×0.1。</w:t>
            </w:r>
          </w:p>
        </w:tc>
      </w:tr>
      <w:tr w14:paraId="26D742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434" w:type="dxa"/>
            <w:vMerge w:val="continue"/>
            <w:tcBorders>
              <w:right w:val="single" w:color="000000" w:sz="4" w:space="0"/>
            </w:tcBorders>
            <w:noWrap w:val="0"/>
            <w:vAlign w:val="center"/>
          </w:tcPr>
          <w:p w14:paraId="2FBD463D">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000000" w:sz="4" w:space="0"/>
            </w:tcBorders>
            <w:noWrap w:val="0"/>
            <w:vAlign w:val="center"/>
          </w:tcPr>
          <w:p w14:paraId="6713C6A8">
            <w:pPr>
              <w:widowControl/>
              <w:spacing w:line="260" w:lineRule="exact"/>
              <w:jc w:val="center"/>
              <w:textAlignment w:val="center"/>
              <w:rPr>
                <w:rFonts w:ascii="Times New Roman" w:hAnsi="Times New Roman" w:eastAsia="宋体" w:cs="Times New Roman"/>
                <w:sz w:val="18"/>
                <w:szCs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832AD03">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投资协议签署</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8C00355">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GSTZ-2-1-09</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5625563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因投资人原因，签署投资协议超过规定时限的。</w:t>
            </w:r>
          </w:p>
        </w:tc>
        <w:tc>
          <w:tcPr>
            <w:tcW w:w="5286" w:type="dxa"/>
            <w:tcBorders>
              <w:top w:val="single" w:color="000000" w:sz="4" w:space="0"/>
              <w:left w:val="single" w:color="000000" w:sz="4" w:space="0"/>
              <w:bottom w:val="single" w:color="000000" w:sz="4" w:space="0"/>
            </w:tcBorders>
            <w:noWrap w:val="0"/>
            <w:vAlign w:val="center"/>
          </w:tcPr>
          <w:p w14:paraId="42F87964">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扣2分。</w:t>
            </w:r>
          </w:p>
        </w:tc>
      </w:tr>
      <w:tr w14:paraId="6EC4CF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jc w:val="center"/>
        </w:trPr>
        <w:tc>
          <w:tcPr>
            <w:tcW w:w="1434" w:type="dxa"/>
            <w:vMerge w:val="continue"/>
            <w:tcBorders>
              <w:right w:val="single" w:color="000000" w:sz="4" w:space="0"/>
            </w:tcBorders>
            <w:noWrap w:val="0"/>
            <w:vAlign w:val="center"/>
          </w:tcPr>
          <w:p w14:paraId="036F76C5">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000000" w:sz="4" w:space="0"/>
            </w:tcBorders>
            <w:noWrap w:val="0"/>
            <w:vAlign w:val="center"/>
          </w:tcPr>
          <w:p w14:paraId="4B2F377B">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000000" w:sz="4" w:space="0"/>
              <w:left w:val="single" w:color="000000" w:sz="4" w:space="0"/>
              <w:right w:val="single" w:color="000000" w:sz="4" w:space="0"/>
            </w:tcBorders>
            <w:noWrap w:val="0"/>
            <w:vAlign w:val="center"/>
          </w:tcPr>
          <w:p w14:paraId="0D847049">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信息公开</w:t>
            </w:r>
          </w:p>
        </w:tc>
        <w:tc>
          <w:tcPr>
            <w:tcW w:w="1220" w:type="dxa"/>
            <w:tcBorders>
              <w:top w:val="single" w:color="000000" w:sz="4" w:space="0"/>
              <w:left w:val="single" w:color="000000" w:sz="4" w:space="0"/>
              <w:right w:val="single" w:color="000000" w:sz="4" w:space="0"/>
            </w:tcBorders>
            <w:noWrap w:val="0"/>
            <w:vAlign w:val="center"/>
          </w:tcPr>
          <w:p w14:paraId="7091CBE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GSTZ-2-1-10</w:t>
            </w:r>
          </w:p>
        </w:tc>
        <w:tc>
          <w:tcPr>
            <w:tcW w:w="4177" w:type="dxa"/>
            <w:tcBorders>
              <w:top w:val="single" w:color="000000" w:sz="4" w:space="0"/>
              <w:left w:val="single" w:color="000000" w:sz="4" w:space="0"/>
              <w:right w:val="single" w:color="000000" w:sz="4" w:space="0"/>
            </w:tcBorders>
            <w:noWrap w:val="0"/>
            <w:vAlign w:val="center"/>
          </w:tcPr>
          <w:p w14:paraId="54BD2EDE">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未按要求及时填报政府和社会资本合作项目信息系统的。</w:t>
            </w:r>
          </w:p>
        </w:tc>
        <w:tc>
          <w:tcPr>
            <w:tcW w:w="5286" w:type="dxa"/>
            <w:tcBorders>
              <w:top w:val="single" w:color="000000" w:sz="4" w:space="0"/>
              <w:left w:val="single" w:color="000000" w:sz="4" w:space="0"/>
              <w:bottom w:val="single" w:color="000000" w:sz="4" w:space="0"/>
            </w:tcBorders>
            <w:noWrap w:val="0"/>
            <w:vAlign w:val="center"/>
          </w:tcPr>
          <w:p w14:paraId="54F484A0">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未及时填报，扣1分。</w:t>
            </w:r>
          </w:p>
        </w:tc>
      </w:tr>
      <w:tr w14:paraId="1A72A2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6" w:hRule="atLeast"/>
          <w:jc w:val="center"/>
        </w:trPr>
        <w:tc>
          <w:tcPr>
            <w:tcW w:w="1434" w:type="dxa"/>
            <w:vMerge w:val="continue"/>
            <w:tcBorders>
              <w:bottom w:val="single" w:color="auto" w:sz="4" w:space="0"/>
              <w:right w:val="single" w:color="000000" w:sz="4" w:space="0"/>
            </w:tcBorders>
            <w:noWrap w:val="0"/>
            <w:vAlign w:val="center"/>
          </w:tcPr>
          <w:p w14:paraId="46737378">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bottom w:val="single" w:color="auto" w:sz="4" w:space="0"/>
              <w:right w:val="single" w:color="000000" w:sz="4" w:space="0"/>
            </w:tcBorders>
            <w:noWrap w:val="0"/>
            <w:vAlign w:val="center"/>
          </w:tcPr>
          <w:p w14:paraId="335784D5">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C6172CB">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其他失信行为</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72B00B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GSTZ-2-1-11</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0D6CB1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因投资人原因，准备阶段可能存在的其他扣分项。</w:t>
            </w:r>
          </w:p>
        </w:tc>
        <w:tc>
          <w:tcPr>
            <w:tcW w:w="5286" w:type="dxa"/>
            <w:tcBorders>
              <w:top w:val="single" w:color="000000" w:sz="4" w:space="0"/>
              <w:left w:val="single" w:color="000000" w:sz="4" w:space="0"/>
              <w:bottom w:val="single" w:color="000000" w:sz="4" w:space="0"/>
            </w:tcBorders>
            <w:noWrap w:val="0"/>
            <w:vAlign w:val="center"/>
          </w:tcPr>
          <w:p w14:paraId="63D669B8">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视问题大小，酌情扣1-2分/项。累计不超过4分。</w:t>
            </w:r>
          </w:p>
        </w:tc>
      </w:tr>
      <w:tr w14:paraId="7B851A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8" w:hRule="atLeast"/>
          <w:jc w:val="center"/>
        </w:trPr>
        <w:tc>
          <w:tcPr>
            <w:tcW w:w="1434" w:type="dxa"/>
            <w:vMerge w:val="restart"/>
            <w:tcBorders>
              <w:right w:val="single" w:color="000000" w:sz="4" w:space="0"/>
            </w:tcBorders>
            <w:noWrap w:val="0"/>
            <w:vAlign w:val="center"/>
          </w:tcPr>
          <w:p w14:paraId="707CD535">
            <w:pPr>
              <w:widowControl/>
              <w:spacing w:line="260" w:lineRule="exact"/>
              <w:jc w:val="center"/>
              <w:textAlignment w:val="center"/>
              <w:rPr>
                <w:rFonts w:ascii="Times New Roman" w:hAnsi="Times New Roman" w:eastAsia="宋体" w:cs="Times New Roman"/>
                <w:kern w:val="0"/>
                <w:sz w:val="18"/>
                <w:szCs w:val="18"/>
                <w:lang w:bidi="ar"/>
              </w:rPr>
            </w:pPr>
          </w:p>
          <w:p w14:paraId="738154BC">
            <w:pPr>
              <w:widowControl/>
              <w:spacing w:line="260" w:lineRule="exact"/>
              <w:jc w:val="center"/>
              <w:textAlignment w:val="center"/>
              <w:rPr>
                <w:rFonts w:ascii="Times New Roman" w:hAnsi="Times New Roman" w:eastAsia="宋体" w:cs="Times New Roman"/>
                <w:kern w:val="0"/>
                <w:sz w:val="18"/>
                <w:szCs w:val="18"/>
                <w:lang w:bidi="ar"/>
              </w:rPr>
            </w:pPr>
          </w:p>
          <w:p w14:paraId="1CF7BD04">
            <w:pPr>
              <w:widowControl/>
              <w:spacing w:line="260" w:lineRule="exact"/>
              <w:jc w:val="center"/>
              <w:textAlignment w:val="center"/>
              <w:rPr>
                <w:rFonts w:ascii="Times New Roman" w:hAnsi="Times New Roman" w:eastAsia="宋体" w:cs="Times New Roman"/>
                <w:kern w:val="0"/>
                <w:sz w:val="18"/>
                <w:szCs w:val="18"/>
                <w:lang w:bidi="ar"/>
              </w:rPr>
            </w:pPr>
          </w:p>
          <w:p w14:paraId="4CF98C1E">
            <w:pPr>
              <w:widowControl/>
              <w:spacing w:line="260" w:lineRule="exact"/>
              <w:jc w:val="center"/>
              <w:textAlignment w:val="center"/>
              <w:rPr>
                <w:rFonts w:ascii="Times New Roman" w:hAnsi="Times New Roman" w:eastAsia="宋体" w:cs="Times New Roman"/>
                <w:kern w:val="0"/>
                <w:sz w:val="18"/>
                <w:szCs w:val="18"/>
                <w:lang w:bidi="ar"/>
              </w:rPr>
            </w:pPr>
          </w:p>
          <w:p w14:paraId="0C93E707">
            <w:pPr>
              <w:widowControl/>
              <w:spacing w:line="260" w:lineRule="exact"/>
              <w:jc w:val="center"/>
              <w:textAlignment w:val="center"/>
              <w:rPr>
                <w:rFonts w:ascii="Times New Roman" w:hAnsi="Times New Roman" w:eastAsia="宋体" w:cs="Times New Roman"/>
                <w:kern w:val="0"/>
                <w:sz w:val="18"/>
                <w:szCs w:val="18"/>
                <w:lang w:bidi="ar"/>
              </w:rPr>
            </w:pPr>
          </w:p>
          <w:p w14:paraId="717AFEAA">
            <w:pPr>
              <w:pStyle w:val="2"/>
              <w:jc w:val="center"/>
              <w:rPr>
                <w:rFonts w:ascii="Times New Roman" w:hAnsi="Times New Roman" w:eastAsia="宋体" w:cs="Times New Roman"/>
                <w:kern w:val="0"/>
                <w:sz w:val="18"/>
                <w:szCs w:val="18"/>
                <w:lang w:bidi="ar"/>
              </w:rPr>
            </w:pPr>
          </w:p>
          <w:p w14:paraId="2DB37316">
            <w:pPr>
              <w:pStyle w:val="2"/>
              <w:jc w:val="center"/>
              <w:rPr>
                <w:rFonts w:ascii="Times New Roman" w:hAnsi="Times New Roman" w:eastAsia="宋体" w:cs="Times New Roman"/>
                <w:kern w:val="0"/>
                <w:sz w:val="18"/>
                <w:szCs w:val="18"/>
                <w:lang w:bidi="ar"/>
              </w:rPr>
            </w:pPr>
          </w:p>
          <w:p w14:paraId="1A59E3A4">
            <w:pPr>
              <w:widowControl/>
              <w:spacing w:line="260" w:lineRule="exact"/>
              <w:jc w:val="center"/>
              <w:textAlignment w:val="center"/>
              <w:rPr>
                <w:rFonts w:ascii="Times New Roman" w:hAnsi="Times New Roman" w:eastAsia="宋体" w:cs="Times New Roman"/>
                <w:kern w:val="0"/>
                <w:sz w:val="18"/>
                <w:szCs w:val="18"/>
                <w:lang w:bidi="ar"/>
              </w:rPr>
            </w:pPr>
          </w:p>
          <w:p w14:paraId="1B98DF5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项目建设</w:t>
            </w:r>
            <w:r>
              <w:rPr>
                <w:rFonts w:hint="default" w:ascii="Times New Roman" w:hAnsi="Times New Roman" w:eastAsia="宋体" w:cs="Times New Roman"/>
                <w:kern w:val="0"/>
                <w:sz w:val="18"/>
                <w:szCs w:val="18"/>
                <w:lang w:bidi="ar"/>
              </w:rPr>
              <w:t>阶段</w:t>
            </w:r>
          </w:p>
          <w:p w14:paraId="74F3FFF4">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（满分50分）</w:t>
            </w:r>
          </w:p>
          <w:p w14:paraId="279E324D">
            <w:pPr>
              <w:widowControl/>
              <w:spacing w:line="260" w:lineRule="exact"/>
              <w:jc w:val="center"/>
              <w:textAlignment w:val="center"/>
              <w:rPr>
                <w:rFonts w:ascii="Times New Roman" w:hAnsi="Times New Roman" w:eastAsia="宋体" w:cs="Times New Roman"/>
                <w:kern w:val="0"/>
                <w:sz w:val="18"/>
                <w:szCs w:val="18"/>
                <w:lang w:bidi="ar"/>
              </w:rPr>
            </w:pPr>
          </w:p>
          <w:p w14:paraId="34FC2BF4">
            <w:pPr>
              <w:pStyle w:val="2"/>
              <w:spacing w:after="0" w:line="260" w:lineRule="exact"/>
              <w:jc w:val="center"/>
              <w:rPr>
                <w:rFonts w:ascii="Times New Roman" w:hAnsi="Times New Roman" w:eastAsia="宋体" w:cs="Times New Roman"/>
                <w:kern w:val="0"/>
                <w:sz w:val="18"/>
                <w:szCs w:val="18"/>
                <w:lang w:bidi="ar"/>
              </w:rPr>
            </w:pPr>
          </w:p>
          <w:p w14:paraId="6E6EED0F">
            <w:pPr>
              <w:pStyle w:val="2"/>
              <w:spacing w:after="0" w:line="260" w:lineRule="exact"/>
              <w:jc w:val="center"/>
              <w:rPr>
                <w:rFonts w:ascii="Times New Roman" w:hAnsi="Times New Roman" w:eastAsia="宋体" w:cs="Times New Roman"/>
                <w:kern w:val="0"/>
                <w:sz w:val="18"/>
                <w:szCs w:val="18"/>
                <w:lang w:bidi="ar"/>
              </w:rPr>
            </w:pPr>
          </w:p>
          <w:p w14:paraId="5E0AA830">
            <w:pPr>
              <w:pStyle w:val="2"/>
              <w:spacing w:after="0" w:line="260" w:lineRule="exact"/>
              <w:jc w:val="center"/>
              <w:rPr>
                <w:rFonts w:ascii="Times New Roman" w:hAnsi="Times New Roman" w:eastAsia="宋体" w:cs="Times New Roman"/>
                <w:kern w:val="0"/>
                <w:sz w:val="18"/>
                <w:szCs w:val="18"/>
                <w:lang w:bidi="ar"/>
              </w:rPr>
            </w:pPr>
          </w:p>
          <w:p w14:paraId="3F15135B">
            <w:pPr>
              <w:pStyle w:val="2"/>
              <w:spacing w:after="0" w:line="260" w:lineRule="exact"/>
              <w:jc w:val="center"/>
              <w:rPr>
                <w:rFonts w:ascii="Times New Roman" w:hAnsi="Times New Roman" w:eastAsia="宋体" w:cs="Times New Roman"/>
                <w:kern w:val="0"/>
                <w:sz w:val="18"/>
                <w:szCs w:val="18"/>
                <w:lang w:bidi="ar"/>
              </w:rPr>
            </w:pPr>
          </w:p>
          <w:p w14:paraId="154D91FC">
            <w:pPr>
              <w:pStyle w:val="2"/>
              <w:spacing w:after="0" w:line="260" w:lineRule="exact"/>
              <w:jc w:val="center"/>
              <w:rPr>
                <w:rFonts w:ascii="Times New Roman" w:hAnsi="Times New Roman" w:eastAsia="宋体" w:cs="Times New Roman"/>
                <w:kern w:val="0"/>
                <w:sz w:val="18"/>
                <w:szCs w:val="18"/>
                <w:lang w:bidi="ar"/>
              </w:rPr>
            </w:pPr>
          </w:p>
          <w:p w14:paraId="47973DAD">
            <w:pPr>
              <w:pStyle w:val="2"/>
              <w:spacing w:after="0" w:line="260" w:lineRule="exact"/>
              <w:jc w:val="center"/>
              <w:rPr>
                <w:rFonts w:ascii="Times New Roman" w:hAnsi="Times New Roman" w:eastAsia="宋体" w:cs="Times New Roman"/>
                <w:kern w:val="0"/>
                <w:sz w:val="18"/>
                <w:szCs w:val="18"/>
                <w:lang w:bidi="ar"/>
              </w:rPr>
            </w:pPr>
          </w:p>
          <w:p w14:paraId="25A0F681">
            <w:pPr>
              <w:pStyle w:val="2"/>
              <w:spacing w:after="0" w:line="260" w:lineRule="exact"/>
              <w:jc w:val="center"/>
              <w:rPr>
                <w:rFonts w:ascii="Times New Roman" w:hAnsi="Times New Roman" w:eastAsia="宋体" w:cs="Times New Roman"/>
                <w:kern w:val="0"/>
                <w:sz w:val="18"/>
                <w:szCs w:val="18"/>
                <w:lang w:bidi="ar"/>
              </w:rPr>
            </w:pPr>
          </w:p>
          <w:p w14:paraId="41527707">
            <w:pPr>
              <w:pStyle w:val="2"/>
              <w:spacing w:after="0" w:line="260" w:lineRule="exact"/>
              <w:jc w:val="center"/>
              <w:rPr>
                <w:rFonts w:ascii="Times New Roman" w:hAnsi="Times New Roman" w:eastAsia="宋体" w:cs="Times New Roman"/>
                <w:kern w:val="0"/>
                <w:sz w:val="18"/>
                <w:szCs w:val="18"/>
                <w:lang w:bidi="ar"/>
              </w:rPr>
            </w:pPr>
          </w:p>
          <w:p w14:paraId="4533C103">
            <w:pPr>
              <w:pStyle w:val="2"/>
              <w:spacing w:after="0" w:line="260" w:lineRule="exact"/>
              <w:jc w:val="center"/>
              <w:rPr>
                <w:rFonts w:ascii="Times New Roman" w:hAnsi="Times New Roman" w:eastAsia="宋体" w:cs="Times New Roman"/>
                <w:kern w:val="0"/>
                <w:sz w:val="18"/>
                <w:szCs w:val="18"/>
                <w:lang w:bidi="ar"/>
              </w:rPr>
            </w:pPr>
          </w:p>
          <w:p w14:paraId="5FD5F6A7">
            <w:pPr>
              <w:pStyle w:val="2"/>
              <w:spacing w:after="0" w:line="260" w:lineRule="exact"/>
              <w:jc w:val="center"/>
              <w:rPr>
                <w:rFonts w:ascii="Times New Roman" w:hAnsi="Times New Roman" w:eastAsia="宋体" w:cs="Times New Roman"/>
                <w:kern w:val="0"/>
                <w:sz w:val="18"/>
                <w:szCs w:val="18"/>
                <w:lang w:bidi="ar"/>
              </w:rPr>
            </w:pPr>
          </w:p>
          <w:p w14:paraId="3208AF44">
            <w:pPr>
              <w:pStyle w:val="2"/>
              <w:spacing w:after="0" w:line="260" w:lineRule="exact"/>
              <w:jc w:val="center"/>
              <w:rPr>
                <w:rFonts w:ascii="Times New Roman" w:hAnsi="Times New Roman" w:eastAsia="宋体" w:cs="Times New Roman"/>
                <w:kern w:val="0"/>
                <w:sz w:val="18"/>
                <w:szCs w:val="18"/>
                <w:lang w:bidi="ar"/>
              </w:rPr>
            </w:pPr>
          </w:p>
          <w:p w14:paraId="28391C49">
            <w:pPr>
              <w:pStyle w:val="2"/>
              <w:spacing w:after="0" w:line="260" w:lineRule="exact"/>
              <w:jc w:val="center"/>
              <w:rPr>
                <w:rFonts w:ascii="Times New Roman" w:hAnsi="Times New Roman" w:eastAsia="宋体" w:cs="Times New Roman"/>
                <w:kern w:val="0"/>
                <w:sz w:val="18"/>
                <w:szCs w:val="18"/>
                <w:lang w:bidi="ar"/>
              </w:rPr>
            </w:pPr>
          </w:p>
          <w:p w14:paraId="4E64F759">
            <w:pPr>
              <w:pStyle w:val="2"/>
              <w:spacing w:after="0" w:line="260" w:lineRule="exact"/>
              <w:jc w:val="center"/>
              <w:rPr>
                <w:rFonts w:ascii="Times New Roman" w:hAnsi="Times New Roman" w:eastAsia="宋体" w:cs="Times New Roman"/>
                <w:kern w:val="0"/>
                <w:sz w:val="18"/>
                <w:szCs w:val="18"/>
                <w:lang w:bidi="ar"/>
              </w:rPr>
            </w:pPr>
          </w:p>
          <w:p w14:paraId="35E8F4EB">
            <w:pPr>
              <w:pStyle w:val="2"/>
              <w:spacing w:after="0" w:line="260" w:lineRule="exact"/>
              <w:jc w:val="center"/>
              <w:rPr>
                <w:rFonts w:ascii="Times New Roman" w:hAnsi="Times New Roman" w:eastAsia="宋体" w:cs="Times New Roman"/>
                <w:kern w:val="0"/>
                <w:sz w:val="18"/>
                <w:szCs w:val="18"/>
                <w:lang w:bidi="ar"/>
              </w:rPr>
            </w:pPr>
          </w:p>
          <w:p w14:paraId="6511F742">
            <w:pPr>
              <w:pStyle w:val="2"/>
              <w:spacing w:after="0" w:line="260" w:lineRule="exact"/>
              <w:jc w:val="center"/>
              <w:rPr>
                <w:rFonts w:ascii="Times New Roman" w:hAnsi="Times New Roman" w:eastAsia="宋体" w:cs="Times New Roman"/>
                <w:kern w:val="0"/>
                <w:sz w:val="18"/>
                <w:szCs w:val="18"/>
                <w:lang w:bidi="ar"/>
              </w:rPr>
            </w:pPr>
          </w:p>
          <w:p w14:paraId="2EB92363">
            <w:pPr>
              <w:pStyle w:val="2"/>
              <w:spacing w:after="0" w:line="260" w:lineRule="exact"/>
              <w:jc w:val="center"/>
              <w:rPr>
                <w:rFonts w:ascii="Times New Roman" w:hAnsi="Times New Roman" w:eastAsia="宋体" w:cs="Times New Roman"/>
                <w:kern w:val="0"/>
                <w:sz w:val="18"/>
                <w:szCs w:val="18"/>
                <w:lang w:bidi="ar"/>
              </w:rPr>
            </w:pPr>
          </w:p>
          <w:p w14:paraId="0007A03A">
            <w:pPr>
              <w:pStyle w:val="2"/>
              <w:spacing w:after="0" w:line="260" w:lineRule="exact"/>
              <w:jc w:val="center"/>
              <w:rPr>
                <w:rFonts w:ascii="Times New Roman" w:hAnsi="Times New Roman" w:eastAsia="宋体" w:cs="Times New Roman"/>
                <w:kern w:val="0"/>
                <w:sz w:val="18"/>
                <w:szCs w:val="18"/>
                <w:lang w:bidi="ar"/>
              </w:rPr>
            </w:pPr>
          </w:p>
          <w:p w14:paraId="3BDBC3B4">
            <w:pPr>
              <w:pStyle w:val="2"/>
              <w:spacing w:after="0" w:line="260" w:lineRule="exact"/>
              <w:jc w:val="center"/>
              <w:rPr>
                <w:rFonts w:ascii="Times New Roman" w:hAnsi="Times New Roman" w:eastAsia="宋体" w:cs="Times New Roman"/>
                <w:kern w:val="0"/>
                <w:sz w:val="18"/>
                <w:szCs w:val="18"/>
                <w:lang w:bidi="ar"/>
              </w:rPr>
            </w:pPr>
          </w:p>
          <w:p w14:paraId="502A57E8">
            <w:pPr>
              <w:pStyle w:val="2"/>
              <w:spacing w:after="0" w:line="260" w:lineRule="exact"/>
              <w:jc w:val="center"/>
              <w:rPr>
                <w:rFonts w:ascii="Times New Roman" w:hAnsi="Times New Roman" w:eastAsia="宋体" w:cs="Times New Roman"/>
                <w:kern w:val="0"/>
                <w:sz w:val="18"/>
                <w:szCs w:val="18"/>
                <w:lang w:bidi="ar"/>
              </w:rPr>
            </w:pPr>
          </w:p>
          <w:p w14:paraId="2E312BF1">
            <w:pPr>
              <w:pStyle w:val="2"/>
              <w:spacing w:after="0" w:line="260" w:lineRule="exact"/>
              <w:jc w:val="center"/>
              <w:rPr>
                <w:rFonts w:ascii="Times New Roman" w:hAnsi="Times New Roman" w:eastAsia="宋体" w:cs="Times New Roman"/>
                <w:kern w:val="0"/>
                <w:sz w:val="18"/>
                <w:szCs w:val="18"/>
                <w:lang w:bidi="ar"/>
              </w:rPr>
            </w:pPr>
          </w:p>
          <w:p w14:paraId="2A8DBB44">
            <w:pPr>
              <w:pStyle w:val="2"/>
              <w:spacing w:after="0" w:line="260" w:lineRule="exact"/>
              <w:jc w:val="center"/>
              <w:rPr>
                <w:rFonts w:ascii="Times New Roman" w:hAnsi="Times New Roman" w:eastAsia="宋体" w:cs="Times New Roman"/>
                <w:kern w:val="0"/>
                <w:sz w:val="18"/>
                <w:szCs w:val="18"/>
                <w:lang w:bidi="ar"/>
              </w:rPr>
            </w:pPr>
          </w:p>
          <w:p w14:paraId="037D4C3D">
            <w:pPr>
              <w:pStyle w:val="2"/>
              <w:spacing w:after="0" w:line="260" w:lineRule="exact"/>
              <w:jc w:val="center"/>
              <w:rPr>
                <w:rFonts w:ascii="Times New Roman" w:hAnsi="Times New Roman" w:eastAsia="宋体" w:cs="Times New Roman"/>
                <w:kern w:val="0"/>
                <w:sz w:val="18"/>
                <w:szCs w:val="18"/>
                <w:lang w:bidi="ar"/>
              </w:rPr>
            </w:pPr>
          </w:p>
          <w:p w14:paraId="35E81B43">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（续前页）</w:t>
            </w:r>
          </w:p>
          <w:p w14:paraId="3D17FA5C">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项目建设</w:t>
            </w:r>
            <w:r>
              <w:rPr>
                <w:rFonts w:hint="default" w:ascii="Times New Roman" w:hAnsi="Times New Roman" w:eastAsia="宋体" w:cs="Times New Roman"/>
                <w:kern w:val="0"/>
                <w:sz w:val="18"/>
                <w:szCs w:val="18"/>
                <w:lang w:bidi="ar"/>
              </w:rPr>
              <w:t>阶段</w:t>
            </w:r>
          </w:p>
          <w:p w14:paraId="7C4465D7">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（满分50分）</w:t>
            </w:r>
          </w:p>
        </w:tc>
        <w:tc>
          <w:tcPr>
            <w:tcW w:w="1044" w:type="dxa"/>
            <w:vMerge w:val="restart"/>
            <w:tcBorders>
              <w:top w:val="single" w:color="000000" w:sz="4" w:space="0"/>
              <w:left w:val="single" w:color="000000" w:sz="4" w:space="0"/>
              <w:right w:val="single" w:color="000000" w:sz="4" w:space="0"/>
            </w:tcBorders>
            <w:noWrap w:val="0"/>
            <w:vAlign w:val="center"/>
          </w:tcPr>
          <w:p w14:paraId="34A6A352">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投资协议</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5F4556B">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项目公司</w:t>
            </w:r>
            <w:r>
              <w:rPr>
                <w:rFonts w:hint="default" w:ascii="Times New Roman" w:hAnsi="Times New Roman" w:eastAsia="宋体" w:cs="Times New Roman"/>
                <w:kern w:val="0"/>
                <w:sz w:val="18"/>
                <w:szCs w:val="18"/>
                <w:lang w:bidi="ar"/>
              </w:rPr>
              <w:t>组建情况</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0DC30DE">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GSTZ-2-1-12</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F05B1C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因投资人原因，项目公司机构设置、人员配备不满足相关要求。</w:t>
            </w:r>
          </w:p>
        </w:tc>
        <w:tc>
          <w:tcPr>
            <w:tcW w:w="5286" w:type="dxa"/>
            <w:tcBorders>
              <w:top w:val="single" w:color="000000" w:sz="4" w:space="0"/>
              <w:left w:val="single" w:color="000000" w:sz="4" w:space="0"/>
              <w:bottom w:val="single" w:color="000000" w:sz="4" w:space="0"/>
            </w:tcBorders>
            <w:noWrap w:val="0"/>
            <w:vAlign w:val="center"/>
          </w:tcPr>
          <w:p w14:paraId="06781A4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项目公司机构缺失的，扣2分；项目公司具有相应职称的管理人员数量不足的，扣0.5分/人。</w:t>
            </w:r>
          </w:p>
        </w:tc>
      </w:tr>
      <w:tr w14:paraId="3D343D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38" w:hRule="atLeast"/>
          <w:jc w:val="center"/>
        </w:trPr>
        <w:tc>
          <w:tcPr>
            <w:tcW w:w="1434" w:type="dxa"/>
            <w:vMerge w:val="continue"/>
            <w:tcBorders>
              <w:right w:val="single" w:color="000000" w:sz="4" w:space="0"/>
            </w:tcBorders>
            <w:noWrap w:val="0"/>
            <w:vAlign w:val="center"/>
          </w:tcPr>
          <w:p w14:paraId="0CEF1E6C">
            <w:pPr>
              <w:pStyle w:val="2"/>
              <w:spacing w:after="0" w:line="260" w:lineRule="exact"/>
              <w:jc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000000" w:sz="4" w:space="0"/>
            </w:tcBorders>
            <w:noWrap w:val="0"/>
            <w:vAlign w:val="center"/>
          </w:tcPr>
          <w:p w14:paraId="77248FBC">
            <w:pPr>
              <w:pStyle w:val="2"/>
              <w:spacing w:after="0" w:line="260" w:lineRule="exact"/>
              <w:jc w:val="center"/>
              <w:rPr>
                <w:rFonts w:ascii="Times New Roman" w:hAnsi="Times New Roman" w:eastAsia="宋体" w:cs="Times New Roman"/>
                <w:kern w:val="0"/>
                <w:sz w:val="18"/>
                <w:szCs w:val="18"/>
                <w:lang w:bidi="ar"/>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064BAE4">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股东权利</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4AC06C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GSTZ-2-1-13</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AB47EB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投资人未依法保障建设项目法人独立管理地位，或违规干预项目公司履行项目法人主体责任，利用股东权利损害项目公司权益的。</w:t>
            </w:r>
          </w:p>
        </w:tc>
        <w:tc>
          <w:tcPr>
            <w:tcW w:w="5286" w:type="dxa"/>
            <w:tcBorders>
              <w:top w:val="single" w:color="000000" w:sz="4" w:space="0"/>
              <w:left w:val="single" w:color="000000" w:sz="4" w:space="0"/>
              <w:bottom w:val="single" w:color="000000" w:sz="4" w:space="0"/>
            </w:tcBorders>
            <w:noWrap w:val="0"/>
            <w:vAlign w:val="center"/>
          </w:tcPr>
          <w:p w14:paraId="278B88E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未依法保障建设项目法人独立管理地位的，扣2分；违规干预项目公司履行项目法人主体责任，利用股东权利损害项目公司权益的，扣5分。</w:t>
            </w:r>
          </w:p>
        </w:tc>
      </w:tr>
      <w:tr w14:paraId="67A8DF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29" w:hRule="atLeast"/>
          <w:jc w:val="center"/>
        </w:trPr>
        <w:tc>
          <w:tcPr>
            <w:tcW w:w="1434" w:type="dxa"/>
            <w:vMerge w:val="continue"/>
            <w:tcBorders>
              <w:right w:val="single" w:color="000000" w:sz="4" w:space="0"/>
            </w:tcBorders>
            <w:noWrap w:val="0"/>
            <w:vAlign w:val="center"/>
          </w:tcPr>
          <w:p w14:paraId="7603E5FA">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000000" w:sz="4" w:space="0"/>
            </w:tcBorders>
            <w:noWrap w:val="0"/>
            <w:vAlign w:val="center"/>
          </w:tcPr>
          <w:p w14:paraId="59246776">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7BD00BC">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项目建设</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D70FEB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GSTZ-2-1-14</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37B5C4A3">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因投资人原因，影响项目建设，导致项目停工或未及时完工的。</w:t>
            </w:r>
          </w:p>
        </w:tc>
        <w:tc>
          <w:tcPr>
            <w:tcW w:w="5286" w:type="dxa"/>
            <w:tcBorders>
              <w:top w:val="single" w:color="000000" w:sz="4" w:space="0"/>
              <w:left w:val="single" w:color="000000" w:sz="4" w:space="0"/>
              <w:bottom w:val="single" w:color="000000" w:sz="4" w:space="0"/>
            </w:tcBorders>
            <w:noWrap w:val="0"/>
            <w:vAlign w:val="center"/>
          </w:tcPr>
          <w:p w14:paraId="02DF150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项目停工3个月以内的，扣1分；项目停工3</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至6</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个月内的，扣3分。</w:t>
            </w:r>
          </w:p>
          <w:p w14:paraId="5EB1B590">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未及时完工造成建设期延长：3个月以内的，扣2分；在3</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至6</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个月内的扣5分；在6</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至12</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个月的，扣</w:t>
            </w:r>
            <w:r>
              <w:rPr>
                <w:rFonts w:ascii="Times New Roman" w:hAnsi="Times New Roman" w:eastAsia="宋体" w:cs="Times New Roman"/>
                <w:sz w:val="18"/>
                <w:szCs w:val="18"/>
              </w:rPr>
              <w:t>10</w:t>
            </w:r>
            <w:r>
              <w:rPr>
                <w:rFonts w:ascii="Times New Roman" w:hAnsi="Times New Roman" w:eastAsia="宋体" w:cs="Times New Roman"/>
                <w:kern w:val="0"/>
                <w:sz w:val="18"/>
                <w:szCs w:val="18"/>
                <w:lang w:bidi="ar"/>
              </w:rPr>
              <w:t>分。</w:t>
            </w:r>
          </w:p>
        </w:tc>
      </w:tr>
      <w:tr w14:paraId="3D793E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9" w:hRule="atLeast"/>
          <w:jc w:val="center"/>
        </w:trPr>
        <w:tc>
          <w:tcPr>
            <w:tcW w:w="1434" w:type="dxa"/>
            <w:vMerge w:val="continue"/>
            <w:tcBorders>
              <w:right w:val="single" w:color="000000" w:sz="4" w:space="0"/>
            </w:tcBorders>
            <w:noWrap w:val="0"/>
            <w:vAlign w:val="center"/>
          </w:tcPr>
          <w:p w14:paraId="3326EC88">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000000" w:sz="4" w:space="0"/>
            </w:tcBorders>
            <w:noWrap w:val="0"/>
            <w:vAlign w:val="center"/>
          </w:tcPr>
          <w:p w14:paraId="61C91695">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3B5BF16">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资金保障</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14D426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GSTZ-2-1-15</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C70687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资本金来源不符合国家相关规定，或资本金到位不满足投资协议约定；或未按投资协议约定增加资本金出资；或未及时提供增信担保。</w:t>
            </w:r>
          </w:p>
        </w:tc>
        <w:tc>
          <w:tcPr>
            <w:tcW w:w="5286" w:type="dxa"/>
            <w:tcBorders>
              <w:top w:val="single" w:color="000000" w:sz="4" w:space="0"/>
              <w:left w:val="single" w:color="000000" w:sz="4" w:space="0"/>
              <w:bottom w:val="single" w:color="000000" w:sz="4" w:space="0"/>
            </w:tcBorders>
            <w:noWrap w:val="0"/>
            <w:vAlign w:val="center"/>
          </w:tcPr>
          <w:p w14:paraId="7B94F8E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现资本金来源不符合规定，扣5分；资本金未按约定到位，影响项目建设的，扣3分；未按投资协议约定增加资本金出资的，扣3分；未及时提供增信担保，导致项目融资资金不能及时到位，影响项目建设的，扣3分。</w:t>
            </w:r>
          </w:p>
        </w:tc>
      </w:tr>
      <w:tr w14:paraId="24A645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jc w:val="center"/>
        </w:trPr>
        <w:tc>
          <w:tcPr>
            <w:tcW w:w="1434" w:type="dxa"/>
            <w:vMerge w:val="continue"/>
            <w:tcBorders>
              <w:right w:val="single" w:color="000000" w:sz="4" w:space="0"/>
            </w:tcBorders>
            <w:noWrap w:val="0"/>
            <w:vAlign w:val="center"/>
          </w:tcPr>
          <w:p w14:paraId="240F0528">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000000" w:sz="4" w:space="0"/>
            </w:tcBorders>
            <w:noWrap w:val="0"/>
            <w:vAlign w:val="center"/>
          </w:tcPr>
          <w:p w14:paraId="241E6090">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6048400">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股权转让</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D58349E">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GSTZ-2-1-16</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4226D2B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投资人未按股权转让相关规定转让项目公司股权的。</w:t>
            </w:r>
          </w:p>
        </w:tc>
        <w:tc>
          <w:tcPr>
            <w:tcW w:w="5286" w:type="dxa"/>
            <w:tcBorders>
              <w:top w:val="single" w:color="000000" w:sz="4" w:space="0"/>
              <w:left w:val="single" w:color="000000" w:sz="4" w:space="0"/>
              <w:bottom w:val="single" w:color="000000" w:sz="4" w:space="0"/>
            </w:tcBorders>
            <w:noWrap w:val="0"/>
            <w:vAlign w:val="center"/>
          </w:tcPr>
          <w:p w14:paraId="46191D90">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项目公司股权变更不属于相关规定可以转让情形的，扣10分；</w:t>
            </w:r>
          </w:p>
          <w:p w14:paraId="433F893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股权转让程序不符合相关规定的，扣5分。</w:t>
            </w:r>
          </w:p>
        </w:tc>
      </w:tr>
      <w:tr w14:paraId="3FFE4F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29" w:hRule="atLeast"/>
          <w:jc w:val="center"/>
        </w:trPr>
        <w:tc>
          <w:tcPr>
            <w:tcW w:w="1434" w:type="dxa"/>
            <w:vMerge w:val="continue"/>
            <w:tcBorders>
              <w:right w:val="single" w:color="000000" w:sz="4" w:space="0"/>
            </w:tcBorders>
            <w:noWrap w:val="0"/>
            <w:vAlign w:val="center"/>
          </w:tcPr>
          <w:p w14:paraId="3B5F5DA3">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bottom w:val="single" w:color="auto" w:sz="4" w:space="0"/>
              <w:right w:val="single" w:color="000000" w:sz="4" w:space="0"/>
            </w:tcBorders>
            <w:noWrap w:val="0"/>
            <w:vAlign w:val="center"/>
          </w:tcPr>
          <w:p w14:paraId="6BC65CE4">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000000" w:sz="4" w:space="0"/>
              <w:bottom w:val="single" w:color="auto" w:sz="4" w:space="0"/>
              <w:right w:val="single" w:color="auto" w:sz="4" w:space="0"/>
            </w:tcBorders>
            <w:noWrap w:val="0"/>
            <w:vAlign w:val="center"/>
          </w:tcPr>
          <w:p w14:paraId="5A495359">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项目管控</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6EE663E">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GSTZ-2-1-17</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64C27701">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投资人未按行业管理规定或投资协议约定管控项目建设。</w:t>
            </w:r>
          </w:p>
        </w:tc>
        <w:tc>
          <w:tcPr>
            <w:tcW w:w="5286" w:type="dxa"/>
            <w:tcBorders>
              <w:top w:val="single" w:color="auto" w:sz="4" w:space="0"/>
              <w:left w:val="single" w:color="auto" w:sz="4" w:space="0"/>
              <w:bottom w:val="single" w:color="auto" w:sz="4" w:space="0"/>
            </w:tcBorders>
            <w:noWrap w:val="0"/>
            <w:vAlign w:val="center"/>
          </w:tcPr>
          <w:p w14:paraId="2CCCD0A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依法自行组织实施的，具有相应资质的投资人未与项目公司签订相关合同的，扣2分/次；根据四川省高速公路建设项目法人信用评价需要调整项目公司主要负责人，未及时调整到位的，扣2分。</w:t>
            </w:r>
          </w:p>
          <w:p w14:paraId="621BDAF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未按投资约定报送资金到位、项目管控效能情况的，扣1分/项。</w:t>
            </w:r>
          </w:p>
        </w:tc>
      </w:tr>
      <w:tr w14:paraId="4B281B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4" w:hRule="atLeast"/>
          <w:jc w:val="center"/>
        </w:trPr>
        <w:tc>
          <w:tcPr>
            <w:tcW w:w="1434" w:type="dxa"/>
            <w:vMerge w:val="continue"/>
            <w:tcBorders>
              <w:right w:val="single" w:color="000000" w:sz="4" w:space="0"/>
            </w:tcBorders>
            <w:noWrap w:val="0"/>
            <w:vAlign w:val="center"/>
          </w:tcPr>
          <w:p w14:paraId="1D1DC72E">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restart"/>
            <w:tcBorders>
              <w:top w:val="single" w:color="auto" w:sz="4" w:space="0"/>
              <w:left w:val="single" w:color="000000" w:sz="4" w:space="0"/>
              <w:right w:val="single" w:color="auto" w:sz="4" w:space="0"/>
            </w:tcBorders>
            <w:noWrap w:val="0"/>
            <w:vAlign w:val="center"/>
          </w:tcPr>
          <w:p w14:paraId="686C06AA">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监督管理</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AFC5AA7">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项目法人履约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9509941">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GSTZ-2-1-18</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3BC1AFB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建设阶段项目法人履约不到位的。</w:t>
            </w:r>
          </w:p>
        </w:tc>
        <w:tc>
          <w:tcPr>
            <w:tcW w:w="5286" w:type="dxa"/>
            <w:tcBorders>
              <w:top w:val="single" w:color="auto" w:sz="4" w:space="0"/>
              <w:left w:val="single" w:color="auto" w:sz="4" w:space="0"/>
              <w:bottom w:val="single" w:color="auto" w:sz="4" w:space="0"/>
            </w:tcBorders>
            <w:noWrap w:val="0"/>
            <w:vAlign w:val="center"/>
          </w:tcPr>
          <w:p w14:paraId="07C30C6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按四川省高速公路建设项目法人信用评价扣分×0.1。</w:t>
            </w:r>
          </w:p>
        </w:tc>
      </w:tr>
      <w:tr w14:paraId="61125E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9" w:hRule="atLeast"/>
          <w:jc w:val="center"/>
        </w:trPr>
        <w:tc>
          <w:tcPr>
            <w:tcW w:w="1434" w:type="dxa"/>
            <w:vMerge w:val="continue"/>
            <w:tcBorders>
              <w:right w:val="single" w:color="000000" w:sz="4" w:space="0"/>
            </w:tcBorders>
            <w:noWrap w:val="0"/>
            <w:vAlign w:val="center"/>
          </w:tcPr>
          <w:p w14:paraId="1C8433A3">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auto" w:sz="4" w:space="0"/>
            </w:tcBorders>
            <w:noWrap w:val="0"/>
            <w:vAlign w:val="center"/>
          </w:tcPr>
          <w:p w14:paraId="4BFDD11B">
            <w:pPr>
              <w:pStyle w:val="2"/>
              <w:spacing w:after="0" w:line="260" w:lineRule="exact"/>
              <w:jc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BD8E9B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工程质量</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7D4E7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GSTZ-2-1-19</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180DB69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项目发生工程质量事故。</w:t>
            </w:r>
          </w:p>
        </w:tc>
        <w:tc>
          <w:tcPr>
            <w:tcW w:w="5286" w:type="dxa"/>
            <w:tcBorders>
              <w:top w:val="single" w:color="auto" w:sz="4" w:space="0"/>
              <w:left w:val="single" w:color="auto" w:sz="4" w:space="0"/>
              <w:bottom w:val="single" w:color="auto" w:sz="4" w:space="0"/>
            </w:tcBorders>
            <w:noWrap w:val="0"/>
            <w:vAlign w:val="center"/>
          </w:tcPr>
          <w:p w14:paraId="23ABDCC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一般质量事故，扣2分/起；</w:t>
            </w:r>
          </w:p>
          <w:p w14:paraId="05DCB6B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较大质量事故，扣5分/起。</w:t>
            </w:r>
          </w:p>
        </w:tc>
      </w:tr>
      <w:tr w14:paraId="49D27A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4" w:hRule="atLeast"/>
          <w:jc w:val="center"/>
        </w:trPr>
        <w:tc>
          <w:tcPr>
            <w:tcW w:w="1434" w:type="dxa"/>
            <w:vMerge w:val="continue"/>
            <w:tcBorders>
              <w:right w:val="single" w:color="000000" w:sz="4" w:space="0"/>
            </w:tcBorders>
            <w:noWrap w:val="0"/>
            <w:vAlign w:val="center"/>
          </w:tcPr>
          <w:p w14:paraId="7C601639">
            <w:pPr>
              <w:widowControl/>
              <w:spacing w:line="260" w:lineRule="exact"/>
              <w:jc w:val="center"/>
              <w:textAlignment w:val="center"/>
              <w:rPr>
                <w:rFonts w:ascii="Times New Roman" w:hAnsi="Times New Roman" w:eastAsia="宋体" w:cs="Times New Roman"/>
                <w:kern w:val="0"/>
                <w:sz w:val="18"/>
                <w:szCs w:val="18"/>
                <w:lang w:bidi="ar"/>
              </w:rPr>
            </w:pPr>
          </w:p>
        </w:tc>
        <w:tc>
          <w:tcPr>
            <w:tcW w:w="1044" w:type="dxa"/>
            <w:vMerge w:val="continue"/>
            <w:tcBorders>
              <w:left w:val="single" w:color="000000" w:sz="4" w:space="0"/>
              <w:right w:val="single" w:color="auto" w:sz="4" w:space="0"/>
            </w:tcBorders>
            <w:noWrap w:val="0"/>
            <w:vAlign w:val="center"/>
          </w:tcPr>
          <w:p w14:paraId="49B683A9">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1DC316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安全生产</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6D56A6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GSTZ-2-1-20</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CD5DEE7">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项目发生生产安全事故的。</w:t>
            </w:r>
          </w:p>
        </w:tc>
        <w:tc>
          <w:tcPr>
            <w:tcW w:w="5286" w:type="dxa"/>
            <w:tcBorders>
              <w:top w:val="single" w:color="auto" w:sz="4" w:space="0"/>
              <w:left w:val="single" w:color="auto" w:sz="4" w:space="0"/>
              <w:bottom w:val="single" w:color="auto" w:sz="4" w:space="0"/>
            </w:tcBorders>
            <w:noWrap w:val="0"/>
            <w:vAlign w:val="center"/>
          </w:tcPr>
          <w:p w14:paraId="5FBD5090">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一般等级生产安全事故，扣2分/起；</w:t>
            </w:r>
          </w:p>
          <w:p w14:paraId="51DEA120">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较大等级生产安全事故，扣5分/起。</w:t>
            </w:r>
          </w:p>
        </w:tc>
      </w:tr>
      <w:tr w14:paraId="205E8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84" w:hRule="atLeast"/>
          <w:jc w:val="center"/>
        </w:trPr>
        <w:tc>
          <w:tcPr>
            <w:tcW w:w="1434" w:type="dxa"/>
            <w:vMerge w:val="continue"/>
            <w:tcBorders>
              <w:right w:val="single" w:color="000000" w:sz="4" w:space="0"/>
            </w:tcBorders>
            <w:noWrap w:val="0"/>
            <w:vAlign w:val="center"/>
          </w:tcPr>
          <w:p w14:paraId="76064892">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65C6BF8D">
            <w:pPr>
              <w:widowControl/>
              <w:spacing w:line="260" w:lineRule="exact"/>
              <w:jc w:val="center"/>
              <w:textAlignment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F80E1A3">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环境保护</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5E4C7A7">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GSTZ-2-1-21</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6C77F10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项目存在未做好相关环境保护工作的。</w:t>
            </w:r>
          </w:p>
        </w:tc>
        <w:tc>
          <w:tcPr>
            <w:tcW w:w="5286" w:type="dxa"/>
            <w:tcBorders>
              <w:top w:val="single" w:color="auto" w:sz="4" w:space="0"/>
              <w:left w:val="single" w:color="auto" w:sz="4" w:space="0"/>
              <w:bottom w:val="single" w:color="auto" w:sz="4" w:space="0"/>
            </w:tcBorders>
            <w:noWrap w:val="0"/>
            <w:vAlign w:val="center"/>
          </w:tcPr>
          <w:p w14:paraId="77088D4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发生一般环境污染事件，扣2分/起；</w:t>
            </w:r>
          </w:p>
          <w:p w14:paraId="5B781059">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发生较大及以上环境污染事件，扣5分/起；</w:t>
            </w:r>
          </w:p>
          <w:p w14:paraId="6BA23E4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发生重大及以上环境污染事件，扣10分/起。</w:t>
            </w:r>
          </w:p>
          <w:p w14:paraId="3E19EC38">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被中央、国家移交办理的，在环境污染事件扣分基础上扣2分/起；</w:t>
            </w:r>
          </w:p>
          <w:p w14:paraId="5AF530D0">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被省级及以上政府部门环保督察列为典型案例的，在环境污染事件扣分基础上扣3分/起。</w:t>
            </w:r>
          </w:p>
        </w:tc>
      </w:tr>
      <w:tr w14:paraId="07D01C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52" w:hRule="atLeast"/>
          <w:jc w:val="center"/>
        </w:trPr>
        <w:tc>
          <w:tcPr>
            <w:tcW w:w="1434" w:type="dxa"/>
            <w:vMerge w:val="continue"/>
            <w:tcBorders>
              <w:right w:val="single" w:color="000000" w:sz="4" w:space="0"/>
            </w:tcBorders>
            <w:noWrap w:val="0"/>
            <w:vAlign w:val="center"/>
          </w:tcPr>
          <w:p w14:paraId="0740F374">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7B397608">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7C9FBE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造价管理</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8ACA9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GSTZ-2-1-22</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7747EE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项目存在未做好造价管理的情况。</w:t>
            </w:r>
          </w:p>
        </w:tc>
        <w:tc>
          <w:tcPr>
            <w:tcW w:w="5286" w:type="dxa"/>
            <w:tcBorders>
              <w:top w:val="single" w:color="auto" w:sz="4" w:space="0"/>
              <w:left w:val="single" w:color="auto" w:sz="4" w:space="0"/>
              <w:bottom w:val="single" w:color="auto" w:sz="4" w:space="0"/>
            </w:tcBorders>
            <w:noWrap w:val="0"/>
            <w:vAlign w:val="center"/>
          </w:tcPr>
          <w:p w14:paraId="06ED193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未建立健全工程变更、计量支付等造价管理制度的，扣1分；</w:t>
            </w:r>
          </w:p>
          <w:p w14:paraId="69613381">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工程变更资料不齐全或有误的、审批滞后的，扣1分；</w:t>
            </w:r>
          </w:p>
          <w:p w14:paraId="4B973F1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未按规定权限、条件和程序，审查、上报工程变更的，肢解变更规避审批的，在变更中弄虚作假、降低质量标准或安全生产条件的扣3分；</w:t>
            </w:r>
          </w:p>
          <w:p w14:paraId="55425016">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未严格按照工程实际进度、计量支付规则计量的，扣2分；</w:t>
            </w:r>
          </w:p>
          <w:p w14:paraId="184C21B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存在偷工减料、虚假收方、套取资金等情况的扣5分。</w:t>
            </w:r>
          </w:p>
        </w:tc>
      </w:tr>
      <w:tr w14:paraId="5812C6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4" w:hRule="atLeast"/>
          <w:jc w:val="center"/>
        </w:trPr>
        <w:tc>
          <w:tcPr>
            <w:tcW w:w="1434" w:type="dxa"/>
            <w:vMerge w:val="continue"/>
            <w:tcBorders>
              <w:right w:val="single" w:color="000000" w:sz="4" w:space="0"/>
            </w:tcBorders>
            <w:noWrap w:val="0"/>
            <w:vAlign w:val="center"/>
          </w:tcPr>
          <w:p w14:paraId="1ADBA1F2">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7E3A5387">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B23D704">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年度计划</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93F80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GSTZ-2-1-23</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758EBAA3">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项目建设进度滞后或未能完成年度投资计划。</w:t>
            </w:r>
          </w:p>
        </w:tc>
        <w:tc>
          <w:tcPr>
            <w:tcW w:w="5286" w:type="dxa"/>
            <w:tcBorders>
              <w:top w:val="single" w:color="auto" w:sz="4" w:space="0"/>
              <w:left w:val="single" w:color="auto" w:sz="4" w:space="0"/>
              <w:bottom w:val="single" w:color="auto" w:sz="4" w:space="0"/>
            </w:tcBorders>
            <w:noWrap w:val="0"/>
            <w:vAlign w:val="center"/>
          </w:tcPr>
          <w:p w14:paraId="19FB9C0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未完成年度投资任务，每少2%扣1分，累计最高扣4分。</w:t>
            </w:r>
          </w:p>
        </w:tc>
      </w:tr>
      <w:tr w14:paraId="17049C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1434" w:type="dxa"/>
            <w:vMerge w:val="continue"/>
            <w:tcBorders>
              <w:right w:val="single" w:color="000000" w:sz="4" w:space="0"/>
            </w:tcBorders>
            <w:noWrap w:val="0"/>
            <w:vAlign w:val="center"/>
          </w:tcPr>
          <w:p w14:paraId="4945B339">
            <w:pPr>
              <w:widowControl/>
              <w:spacing w:line="260" w:lineRule="exact"/>
              <w:jc w:val="center"/>
              <w:textAlignment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43BDE846">
            <w:pPr>
              <w:widowControl/>
              <w:spacing w:line="260" w:lineRule="exact"/>
              <w:jc w:val="center"/>
              <w:textAlignment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24EA4E8">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农民工工资</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6D96D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GSTZ-2-1-24</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33C9B6E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项目存在拖欠农民工工资的。</w:t>
            </w:r>
          </w:p>
        </w:tc>
        <w:tc>
          <w:tcPr>
            <w:tcW w:w="5286" w:type="dxa"/>
            <w:tcBorders>
              <w:top w:val="single" w:color="auto" w:sz="4" w:space="0"/>
              <w:left w:val="single" w:color="auto" w:sz="4" w:space="0"/>
              <w:bottom w:val="single" w:color="auto" w:sz="4" w:space="0"/>
            </w:tcBorders>
            <w:noWrap w:val="0"/>
            <w:vAlign w:val="center"/>
          </w:tcPr>
          <w:p w14:paraId="650A89BB">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存在违反《保障农民工工资支付条例》，被人力资源社会保障行政部门处以罚款的，扣2分/次。</w:t>
            </w:r>
          </w:p>
        </w:tc>
      </w:tr>
      <w:tr w14:paraId="2807A6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8" w:hRule="atLeast"/>
          <w:jc w:val="center"/>
        </w:trPr>
        <w:tc>
          <w:tcPr>
            <w:tcW w:w="1434" w:type="dxa"/>
            <w:vMerge w:val="continue"/>
            <w:tcBorders>
              <w:right w:val="single" w:color="000000" w:sz="4" w:space="0"/>
            </w:tcBorders>
            <w:noWrap w:val="0"/>
            <w:vAlign w:val="center"/>
          </w:tcPr>
          <w:p w14:paraId="511E93D0">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3FD63943">
            <w:pPr>
              <w:spacing w:line="260" w:lineRule="exact"/>
              <w:jc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F8BC92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问题整改</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92E769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GSTZ-2-1-25</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F5B5F8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部、省挂牌督办的有关问题整改不到位。</w:t>
            </w:r>
          </w:p>
        </w:tc>
        <w:tc>
          <w:tcPr>
            <w:tcW w:w="5286" w:type="dxa"/>
            <w:tcBorders>
              <w:top w:val="single" w:color="auto" w:sz="4" w:space="0"/>
              <w:left w:val="single" w:color="auto" w:sz="4" w:space="0"/>
              <w:bottom w:val="single" w:color="auto" w:sz="4" w:space="0"/>
            </w:tcBorders>
            <w:noWrap w:val="0"/>
            <w:vAlign w:val="center"/>
          </w:tcPr>
          <w:p w14:paraId="13D63C50">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扣5分/次。（同一问题不重复扣分）</w:t>
            </w:r>
          </w:p>
        </w:tc>
      </w:tr>
      <w:tr w14:paraId="5A947D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3" w:hRule="atLeast"/>
          <w:jc w:val="center"/>
        </w:trPr>
        <w:tc>
          <w:tcPr>
            <w:tcW w:w="1434" w:type="dxa"/>
            <w:vMerge w:val="continue"/>
            <w:tcBorders>
              <w:right w:val="single" w:color="000000" w:sz="4" w:space="0"/>
            </w:tcBorders>
            <w:noWrap w:val="0"/>
            <w:vAlign w:val="center"/>
          </w:tcPr>
          <w:p w14:paraId="5091BE54">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5D86B8A7">
            <w:pPr>
              <w:spacing w:line="260" w:lineRule="exact"/>
              <w:jc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220573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应急管理</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861689">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GSTZ-2-1-26</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2BEC7EB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出现突发事件，拒不执行应急抢险或救援任务的。</w:t>
            </w:r>
          </w:p>
        </w:tc>
        <w:tc>
          <w:tcPr>
            <w:tcW w:w="5286" w:type="dxa"/>
            <w:tcBorders>
              <w:top w:val="single" w:color="auto" w:sz="4" w:space="0"/>
              <w:left w:val="single" w:color="auto" w:sz="4" w:space="0"/>
              <w:bottom w:val="single" w:color="auto" w:sz="4" w:space="0"/>
            </w:tcBorders>
            <w:noWrap w:val="0"/>
            <w:vAlign w:val="center"/>
          </w:tcPr>
          <w:p w14:paraId="431245CA">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发现问题扣3分/次。（同一事项不重复扣分）</w:t>
            </w:r>
          </w:p>
        </w:tc>
      </w:tr>
      <w:tr w14:paraId="01F440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7" w:hRule="atLeast"/>
          <w:jc w:val="center"/>
        </w:trPr>
        <w:tc>
          <w:tcPr>
            <w:tcW w:w="1434" w:type="dxa"/>
            <w:vMerge w:val="continue"/>
            <w:tcBorders>
              <w:right w:val="single" w:color="000000" w:sz="4" w:space="0"/>
            </w:tcBorders>
            <w:noWrap w:val="0"/>
            <w:vAlign w:val="center"/>
          </w:tcPr>
          <w:p w14:paraId="3869682C">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right w:val="single" w:color="auto" w:sz="4" w:space="0"/>
            </w:tcBorders>
            <w:noWrap w:val="0"/>
            <w:vAlign w:val="center"/>
          </w:tcPr>
          <w:p w14:paraId="6E2E4460">
            <w:pPr>
              <w:spacing w:line="260" w:lineRule="exact"/>
              <w:jc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1D990E6">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信息公开</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D835CE">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GSTZ-2-1-27</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F45698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未按要求及时填报政府和社会资本合作项目信息系统的。</w:t>
            </w:r>
          </w:p>
        </w:tc>
        <w:tc>
          <w:tcPr>
            <w:tcW w:w="5286" w:type="dxa"/>
            <w:tcBorders>
              <w:top w:val="single" w:color="auto" w:sz="4" w:space="0"/>
              <w:left w:val="single" w:color="auto" w:sz="4" w:space="0"/>
              <w:bottom w:val="single" w:color="auto" w:sz="4" w:space="0"/>
            </w:tcBorders>
            <w:noWrap w:val="0"/>
            <w:vAlign w:val="center"/>
          </w:tcPr>
          <w:p w14:paraId="11A6B2D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未及时填报，扣1分。</w:t>
            </w:r>
          </w:p>
        </w:tc>
      </w:tr>
      <w:tr w14:paraId="31F176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3" w:hRule="atLeast"/>
          <w:jc w:val="center"/>
        </w:trPr>
        <w:tc>
          <w:tcPr>
            <w:tcW w:w="1434" w:type="dxa"/>
            <w:vMerge w:val="continue"/>
            <w:tcBorders>
              <w:bottom w:val="single" w:color="auto" w:sz="4" w:space="0"/>
              <w:right w:val="single" w:color="000000" w:sz="4" w:space="0"/>
            </w:tcBorders>
            <w:noWrap w:val="0"/>
            <w:vAlign w:val="center"/>
          </w:tcPr>
          <w:p w14:paraId="7607AD8E">
            <w:pPr>
              <w:spacing w:line="260" w:lineRule="exact"/>
              <w:jc w:val="center"/>
              <w:rPr>
                <w:rFonts w:ascii="Times New Roman" w:hAnsi="Times New Roman" w:eastAsia="宋体" w:cs="Times New Roman"/>
                <w:sz w:val="18"/>
                <w:szCs w:val="18"/>
              </w:rPr>
            </w:pPr>
          </w:p>
        </w:tc>
        <w:tc>
          <w:tcPr>
            <w:tcW w:w="1044" w:type="dxa"/>
            <w:vMerge w:val="continue"/>
            <w:tcBorders>
              <w:left w:val="single" w:color="000000" w:sz="4" w:space="0"/>
              <w:bottom w:val="single" w:color="auto" w:sz="4" w:space="0"/>
              <w:right w:val="single" w:color="auto" w:sz="4" w:space="0"/>
            </w:tcBorders>
            <w:noWrap w:val="0"/>
            <w:vAlign w:val="center"/>
          </w:tcPr>
          <w:p w14:paraId="1D86814A">
            <w:pPr>
              <w:widowControl/>
              <w:spacing w:line="260" w:lineRule="exact"/>
              <w:jc w:val="center"/>
              <w:textAlignment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362ABEC">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其他失信行为</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46C4409">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GSTZ-2-1-28</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B3127C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因投资人原因，项目在投资建设过程中，存在其他失信行为的情况。</w:t>
            </w:r>
          </w:p>
        </w:tc>
        <w:tc>
          <w:tcPr>
            <w:tcW w:w="5286" w:type="dxa"/>
            <w:tcBorders>
              <w:top w:val="single" w:color="auto" w:sz="4" w:space="0"/>
              <w:left w:val="single" w:color="auto" w:sz="4" w:space="0"/>
              <w:bottom w:val="single" w:color="auto" w:sz="4" w:space="0"/>
            </w:tcBorders>
            <w:noWrap w:val="0"/>
            <w:vAlign w:val="center"/>
          </w:tcPr>
          <w:p w14:paraId="2841B9B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视问题大小，酌情扣1-2分/项。累计不超过4分。</w:t>
            </w:r>
          </w:p>
        </w:tc>
      </w:tr>
      <w:tr w14:paraId="628687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2" w:hRule="atLeast"/>
          <w:jc w:val="center"/>
        </w:trPr>
        <w:tc>
          <w:tcPr>
            <w:tcW w:w="1434" w:type="dxa"/>
            <w:vMerge w:val="restart"/>
            <w:tcBorders>
              <w:top w:val="single" w:color="auto" w:sz="4" w:space="0"/>
              <w:bottom w:val="single" w:color="auto" w:sz="4" w:space="0"/>
              <w:right w:val="single" w:color="auto" w:sz="4" w:space="0"/>
            </w:tcBorders>
            <w:noWrap w:val="0"/>
            <w:vAlign w:val="center"/>
          </w:tcPr>
          <w:p w14:paraId="405E4583">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项目运营</w:t>
            </w:r>
          </w:p>
          <w:p w14:paraId="2758FE4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及移交</w:t>
            </w:r>
            <w:r>
              <w:rPr>
                <w:rFonts w:hint="default" w:ascii="Times New Roman" w:hAnsi="Times New Roman" w:eastAsia="宋体" w:cs="Times New Roman"/>
                <w:kern w:val="0"/>
                <w:sz w:val="18"/>
                <w:szCs w:val="18"/>
                <w:lang w:bidi="ar"/>
              </w:rPr>
              <w:t>阶段</w:t>
            </w:r>
          </w:p>
          <w:p w14:paraId="5E2CA5F2">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（满分50分）</w:t>
            </w:r>
          </w:p>
        </w:tc>
        <w:tc>
          <w:tcPr>
            <w:tcW w:w="1044" w:type="dxa"/>
            <w:vMerge w:val="restart"/>
            <w:tcBorders>
              <w:top w:val="single" w:color="auto" w:sz="4" w:space="0"/>
              <w:left w:val="single" w:color="auto" w:sz="4" w:space="0"/>
              <w:right w:val="single" w:color="auto" w:sz="4" w:space="0"/>
            </w:tcBorders>
            <w:noWrap w:val="0"/>
            <w:vAlign w:val="center"/>
          </w:tcPr>
          <w:p w14:paraId="0755A9D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投资协议</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282DCF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股东权利</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C2247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GSTZ-2-1-29</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7EFBDD2D">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投资人未依法保障建设项目法人独立管理地位，或违规干预项目公司履行项目法人主体责任，利用股东权利损害项目公司权益的。</w:t>
            </w:r>
          </w:p>
        </w:tc>
        <w:tc>
          <w:tcPr>
            <w:tcW w:w="5286" w:type="dxa"/>
            <w:tcBorders>
              <w:top w:val="single" w:color="auto" w:sz="4" w:space="0"/>
              <w:left w:val="single" w:color="auto" w:sz="4" w:space="0"/>
              <w:bottom w:val="single" w:color="auto" w:sz="4" w:space="0"/>
            </w:tcBorders>
            <w:noWrap w:val="0"/>
            <w:vAlign w:val="center"/>
          </w:tcPr>
          <w:p w14:paraId="42B1060D">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未依法保障建设项目法人独立管理地位的，扣2分；违规干预项目公司履行项目法人主体责任，利用股东权利损害项目公司权益的，扣5分。</w:t>
            </w:r>
          </w:p>
        </w:tc>
      </w:tr>
      <w:tr w14:paraId="519019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7"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27474EC9">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0"/>
            <w:vAlign w:val="center"/>
          </w:tcPr>
          <w:p w14:paraId="2B995DA3">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9B500DB">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项目运营</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3DF664F">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GSTZ-2-1-30</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51F080F3">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因投资人原因，</w:t>
            </w:r>
            <w:r>
              <w:rPr>
                <w:rFonts w:hint="default" w:ascii="Times New Roman" w:hAnsi="Times New Roman" w:eastAsia="宋体" w:cs="Times New Roman"/>
                <w:kern w:val="0"/>
                <w:sz w:val="18"/>
                <w:szCs w:val="18"/>
                <w:lang w:bidi="ar"/>
              </w:rPr>
              <w:t>项目开通运营准备不到位，影响项目开通运营的</w:t>
            </w:r>
            <w:r>
              <w:rPr>
                <w:rFonts w:ascii="Times New Roman" w:hAnsi="Times New Roman" w:eastAsia="宋体" w:cs="Times New Roman"/>
                <w:kern w:val="0"/>
                <w:sz w:val="18"/>
                <w:szCs w:val="18"/>
                <w:lang w:bidi="ar"/>
              </w:rPr>
              <w:t>。</w:t>
            </w:r>
          </w:p>
        </w:tc>
        <w:tc>
          <w:tcPr>
            <w:tcW w:w="5286" w:type="dxa"/>
            <w:tcBorders>
              <w:top w:val="single" w:color="auto" w:sz="4" w:space="0"/>
              <w:left w:val="single" w:color="auto" w:sz="4" w:space="0"/>
              <w:bottom w:val="single" w:color="auto" w:sz="4" w:space="0"/>
            </w:tcBorders>
            <w:noWrap w:val="0"/>
            <w:vAlign w:val="center"/>
          </w:tcPr>
          <w:p w14:paraId="61D1AAB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发现相关问题，扣3分。</w:t>
            </w:r>
          </w:p>
        </w:tc>
      </w:tr>
      <w:tr w14:paraId="3EBA1F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9"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02BC4468">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0"/>
            <w:vAlign w:val="center"/>
          </w:tcPr>
          <w:p w14:paraId="038431DF">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8BF5B4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项目管控</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3EE0729">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GSTZ-2-1-31</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71F26605">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投资人未按行业管理规定或投资协议约定管控项目运营。</w:t>
            </w:r>
          </w:p>
        </w:tc>
        <w:tc>
          <w:tcPr>
            <w:tcW w:w="5286" w:type="dxa"/>
            <w:tcBorders>
              <w:top w:val="single" w:color="auto" w:sz="4" w:space="0"/>
              <w:left w:val="single" w:color="auto" w:sz="4" w:space="0"/>
              <w:bottom w:val="single" w:color="auto" w:sz="4" w:space="0"/>
            </w:tcBorders>
            <w:noWrap w:val="0"/>
            <w:vAlign w:val="center"/>
          </w:tcPr>
          <w:p w14:paraId="4B1C993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未预留大中修保障资金，不能及时安排项目大中修的，扣2分；</w:t>
            </w:r>
          </w:p>
          <w:p w14:paraId="459F444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未按投资协议约定报送项目管控效能情况的，扣1分。</w:t>
            </w:r>
          </w:p>
        </w:tc>
      </w:tr>
      <w:tr w14:paraId="38D6B3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1"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6EE5A194">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bottom w:val="single" w:color="auto" w:sz="4" w:space="0"/>
              <w:right w:val="single" w:color="auto" w:sz="4" w:space="0"/>
            </w:tcBorders>
            <w:noWrap w:val="0"/>
            <w:vAlign w:val="center"/>
          </w:tcPr>
          <w:p w14:paraId="6C615C01">
            <w:pPr>
              <w:widowControl/>
              <w:spacing w:line="260" w:lineRule="exact"/>
              <w:jc w:val="center"/>
              <w:textAlignment w:val="center"/>
              <w:rPr>
                <w:rFonts w:ascii="Times New Roman" w:hAnsi="Times New Roman" w:eastAsia="宋体" w:cs="Times New Roman"/>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C5E775B">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股权转让</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A9A01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GSTZ-2-1-32</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18E4DF5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投资人未按股权转让相关规定转让项目公司股权的。</w:t>
            </w:r>
          </w:p>
        </w:tc>
        <w:tc>
          <w:tcPr>
            <w:tcW w:w="5286" w:type="dxa"/>
            <w:tcBorders>
              <w:top w:val="single" w:color="auto" w:sz="4" w:space="0"/>
              <w:left w:val="single" w:color="auto" w:sz="4" w:space="0"/>
              <w:bottom w:val="single" w:color="auto" w:sz="4" w:space="0"/>
            </w:tcBorders>
            <w:noWrap w:val="0"/>
            <w:vAlign w:val="center"/>
          </w:tcPr>
          <w:p w14:paraId="736E4C4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股权转让程序不符合相关规定的，扣5分。</w:t>
            </w:r>
          </w:p>
        </w:tc>
      </w:tr>
      <w:tr w14:paraId="1FB038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90"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6E942E26">
            <w:pPr>
              <w:spacing w:line="260" w:lineRule="exact"/>
              <w:jc w:val="center"/>
              <w:rPr>
                <w:rFonts w:ascii="Times New Roman" w:hAnsi="Times New Roman" w:eastAsia="宋体" w:cs="Times New Roman"/>
                <w:sz w:val="18"/>
                <w:szCs w:val="18"/>
              </w:rPr>
            </w:pPr>
          </w:p>
        </w:tc>
        <w:tc>
          <w:tcPr>
            <w:tcW w:w="1044" w:type="dxa"/>
            <w:vMerge w:val="restart"/>
            <w:tcBorders>
              <w:left w:val="single" w:color="auto" w:sz="4" w:space="0"/>
              <w:right w:val="single" w:color="auto" w:sz="4" w:space="0"/>
            </w:tcBorders>
            <w:noWrap w:val="0"/>
            <w:vAlign w:val="center"/>
          </w:tcPr>
          <w:p w14:paraId="21625CDE">
            <w:pPr>
              <w:pStyle w:val="2"/>
              <w:spacing w:after="0" w:line="260" w:lineRule="exact"/>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监督管理</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889EF58">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服务质量考评</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A94360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GSTZ-2-1-33</w:t>
            </w:r>
          </w:p>
        </w:tc>
        <w:tc>
          <w:tcPr>
            <w:tcW w:w="4177" w:type="dxa"/>
            <w:tcBorders>
              <w:top w:val="single" w:color="auto" w:sz="4" w:space="0"/>
              <w:left w:val="single" w:color="auto" w:sz="4" w:space="0"/>
              <w:bottom w:val="single" w:color="auto" w:sz="4" w:space="0"/>
              <w:right w:val="single" w:color="auto" w:sz="4" w:space="0"/>
            </w:tcBorders>
            <w:noWrap w:val="0"/>
            <w:vAlign w:val="center"/>
          </w:tcPr>
          <w:p w14:paraId="02CB3776">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存在</w:t>
            </w:r>
            <w:r>
              <w:rPr>
                <w:rFonts w:hint="default" w:ascii="Times New Roman" w:hAnsi="Times New Roman" w:eastAsia="宋体" w:cs="Times New Roman"/>
                <w:kern w:val="0"/>
                <w:sz w:val="18"/>
                <w:szCs w:val="18"/>
                <w:lang w:bidi="ar"/>
              </w:rPr>
              <w:t>安全、运行、服务</w:t>
            </w:r>
            <w:r>
              <w:rPr>
                <w:rFonts w:ascii="Times New Roman" w:hAnsi="Times New Roman" w:eastAsia="宋体" w:cs="Times New Roman"/>
                <w:kern w:val="0"/>
                <w:sz w:val="18"/>
                <w:szCs w:val="18"/>
                <w:lang w:bidi="ar"/>
              </w:rPr>
              <w:t>不到位的。</w:t>
            </w:r>
          </w:p>
        </w:tc>
        <w:tc>
          <w:tcPr>
            <w:tcW w:w="5286" w:type="dxa"/>
            <w:tcBorders>
              <w:top w:val="single" w:color="auto" w:sz="4" w:space="0"/>
              <w:left w:val="single" w:color="auto" w:sz="4" w:space="0"/>
              <w:bottom w:val="single" w:color="auto" w:sz="4" w:space="0"/>
            </w:tcBorders>
            <w:noWrap w:val="0"/>
            <w:vAlign w:val="center"/>
          </w:tcPr>
          <w:p w14:paraId="71E49A13">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按照《四川省高速公路服务质量考评办法》考评得分情况予以扣分：</w:t>
            </w:r>
          </w:p>
          <w:p w14:paraId="55DBCB05">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80分≤得分＜90分的，扣1分；</w:t>
            </w:r>
          </w:p>
          <w:p w14:paraId="5734809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70分≤得分＜80分的，扣2分；</w:t>
            </w:r>
          </w:p>
          <w:p w14:paraId="45B8BF1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60分≤得分＜70分的，扣3分；</w:t>
            </w:r>
          </w:p>
          <w:p w14:paraId="43C31D79">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得分低于60分的，扣4分。</w:t>
            </w:r>
          </w:p>
        </w:tc>
      </w:tr>
      <w:tr w14:paraId="308518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5"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5EC9EB1A">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0"/>
            <w:vAlign w:val="center"/>
          </w:tcPr>
          <w:p w14:paraId="5BC6B3D7">
            <w:pPr>
              <w:spacing w:line="260" w:lineRule="exact"/>
              <w:jc w:val="center"/>
              <w:rPr>
                <w:rFonts w:ascii="Times New Roman" w:hAnsi="Times New Roman" w:eastAsia="宋体" w:cs="Times New Roman"/>
                <w:sz w:val="18"/>
                <w:szCs w:val="18"/>
              </w:rPr>
            </w:pPr>
          </w:p>
        </w:tc>
        <w:tc>
          <w:tcPr>
            <w:tcW w:w="1294" w:type="dxa"/>
            <w:tcBorders>
              <w:top w:val="single" w:color="auto" w:sz="4" w:space="0"/>
              <w:left w:val="single" w:color="auto" w:sz="4" w:space="0"/>
              <w:bottom w:val="single" w:color="000000" w:sz="4" w:space="0"/>
              <w:right w:val="single" w:color="000000" w:sz="4" w:space="0"/>
            </w:tcBorders>
            <w:noWrap/>
            <w:vAlign w:val="center"/>
          </w:tcPr>
          <w:p w14:paraId="143143ED">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应急处理</w:t>
            </w:r>
          </w:p>
        </w:tc>
        <w:tc>
          <w:tcPr>
            <w:tcW w:w="1220" w:type="dxa"/>
            <w:tcBorders>
              <w:top w:val="single" w:color="auto" w:sz="4" w:space="0"/>
              <w:left w:val="single" w:color="000000" w:sz="4" w:space="0"/>
              <w:bottom w:val="single" w:color="000000" w:sz="4" w:space="0"/>
              <w:right w:val="single" w:color="000000" w:sz="4" w:space="0"/>
            </w:tcBorders>
            <w:noWrap w:val="0"/>
            <w:vAlign w:val="center"/>
          </w:tcPr>
          <w:p w14:paraId="436BA4E3">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GSTZ-2-1-34</w:t>
            </w:r>
          </w:p>
        </w:tc>
        <w:tc>
          <w:tcPr>
            <w:tcW w:w="4177" w:type="dxa"/>
            <w:tcBorders>
              <w:top w:val="single" w:color="auto" w:sz="4" w:space="0"/>
              <w:left w:val="single" w:color="000000" w:sz="4" w:space="0"/>
              <w:bottom w:val="single" w:color="000000" w:sz="4" w:space="0"/>
              <w:right w:val="single" w:color="000000" w:sz="4" w:space="0"/>
            </w:tcBorders>
            <w:noWrap w:val="0"/>
            <w:vAlign w:val="center"/>
          </w:tcPr>
          <w:p w14:paraId="22A1C7D2">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出现突发事件，拒不执行应急抢险或救援任务的。</w:t>
            </w:r>
          </w:p>
        </w:tc>
        <w:tc>
          <w:tcPr>
            <w:tcW w:w="5286" w:type="dxa"/>
            <w:tcBorders>
              <w:top w:val="single" w:color="auto" w:sz="4" w:space="0"/>
              <w:left w:val="single" w:color="000000" w:sz="4" w:space="0"/>
              <w:bottom w:val="single" w:color="000000" w:sz="4" w:space="0"/>
            </w:tcBorders>
            <w:noWrap w:val="0"/>
            <w:vAlign w:val="center"/>
          </w:tcPr>
          <w:p w14:paraId="1A403B8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发现问题扣3分/次。（同一事项不重复扣分）</w:t>
            </w:r>
          </w:p>
        </w:tc>
      </w:tr>
      <w:tr w14:paraId="1CD30F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4"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640096BD">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0"/>
            <w:vAlign w:val="center"/>
          </w:tcPr>
          <w:p w14:paraId="2A0155D4">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auto" w:sz="4" w:space="0"/>
              <w:bottom w:val="single" w:color="000000" w:sz="4" w:space="0"/>
              <w:right w:val="single" w:color="000000" w:sz="4" w:space="0"/>
            </w:tcBorders>
            <w:noWrap/>
            <w:vAlign w:val="center"/>
          </w:tcPr>
          <w:p w14:paraId="61B3ED24">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责任事故</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A0A9945">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GSTZ-2-1-35</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3631AD9">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存在因运营管理原因导致的责任事故。</w:t>
            </w:r>
          </w:p>
        </w:tc>
        <w:tc>
          <w:tcPr>
            <w:tcW w:w="5286" w:type="dxa"/>
            <w:tcBorders>
              <w:top w:val="single" w:color="000000" w:sz="4" w:space="0"/>
              <w:left w:val="single" w:color="000000" w:sz="4" w:space="0"/>
              <w:bottom w:val="single" w:color="000000" w:sz="4" w:space="0"/>
            </w:tcBorders>
            <w:noWrap w:val="0"/>
            <w:vAlign w:val="center"/>
          </w:tcPr>
          <w:p w14:paraId="7BAC4E3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一般等级生产安全事故，扣2分/起；</w:t>
            </w:r>
          </w:p>
          <w:p w14:paraId="354ACB7B">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较大等级生产安全事故，扣5分/起。</w:t>
            </w:r>
          </w:p>
        </w:tc>
      </w:tr>
      <w:tr w14:paraId="0A6FB0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6"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49A41714">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ign w:val="center"/>
          </w:tcPr>
          <w:p w14:paraId="35041CBD">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1C185A02">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问题整改</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F1A8C95">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GSTZ-2-1-36</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2ACB91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部、省挂牌督办的有关问题整改不到位。</w:t>
            </w:r>
          </w:p>
        </w:tc>
        <w:tc>
          <w:tcPr>
            <w:tcW w:w="5286" w:type="dxa"/>
            <w:tcBorders>
              <w:top w:val="single" w:color="000000" w:sz="4" w:space="0"/>
              <w:left w:val="single" w:color="000000" w:sz="4" w:space="0"/>
              <w:bottom w:val="single" w:color="000000" w:sz="4" w:space="0"/>
            </w:tcBorders>
            <w:noWrap w:val="0"/>
            <w:vAlign w:val="center"/>
          </w:tcPr>
          <w:p w14:paraId="2EEAD31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扣5分/次。（同一问题不累计扣分）</w:t>
            </w:r>
          </w:p>
        </w:tc>
      </w:tr>
      <w:tr w14:paraId="6BFD9C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6"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5E4AF2AD">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ign w:val="center"/>
          </w:tcPr>
          <w:p w14:paraId="18A5E24D">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05114219">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项目移交</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58C21C9">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GSTZ-2-1-37</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7044F9B">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未按照特许</w:t>
            </w:r>
            <w:r>
              <w:rPr>
                <w:rFonts w:hint="default" w:ascii="Times New Roman" w:hAnsi="Times New Roman" w:eastAsia="宋体" w:cs="Times New Roman"/>
                <w:kern w:val="0"/>
                <w:sz w:val="18"/>
                <w:szCs w:val="18"/>
                <w:lang w:bidi="ar"/>
              </w:rPr>
              <w:t>经营</w:t>
            </w:r>
            <w:r>
              <w:rPr>
                <w:rFonts w:ascii="Times New Roman" w:hAnsi="Times New Roman" w:eastAsia="宋体" w:cs="Times New Roman"/>
                <w:kern w:val="0"/>
                <w:sz w:val="18"/>
                <w:szCs w:val="18"/>
                <w:lang w:bidi="ar"/>
              </w:rPr>
              <w:t>协议约定移交。</w:t>
            </w:r>
          </w:p>
        </w:tc>
        <w:tc>
          <w:tcPr>
            <w:tcW w:w="5286" w:type="dxa"/>
            <w:tcBorders>
              <w:top w:val="single" w:color="000000" w:sz="4" w:space="0"/>
              <w:left w:val="single" w:color="000000" w:sz="4" w:space="0"/>
              <w:bottom w:val="single" w:color="000000" w:sz="4" w:space="0"/>
            </w:tcBorders>
            <w:noWrap w:val="0"/>
            <w:vAlign w:val="center"/>
          </w:tcPr>
          <w:p w14:paraId="78FE6B6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发现相关问题，扣2分/项。累计最高扣4分。</w:t>
            </w:r>
          </w:p>
        </w:tc>
      </w:tr>
      <w:tr w14:paraId="41A05C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0D7B2256">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right w:val="single" w:color="auto" w:sz="4" w:space="0"/>
            </w:tcBorders>
            <w:noWrap/>
            <w:vAlign w:val="center"/>
          </w:tcPr>
          <w:p w14:paraId="388ADF0F">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auto" w:sz="4" w:space="0"/>
              <w:right w:val="single" w:color="000000" w:sz="4" w:space="0"/>
            </w:tcBorders>
            <w:noWrap w:val="0"/>
            <w:vAlign w:val="center"/>
          </w:tcPr>
          <w:p w14:paraId="3B1294F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信息公开</w:t>
            </w:r>
          </w:p>
        </w:tc>
        <w:tc>
          <w:tcPr>
            <w:tcW w:w="1220" w:type="dxa"/>
            <w:tcBorders>
              <w:top w:val="single" w:color="000000" w:sz="4" w:space="0"/>
              <w:left w:val="single" w:color="000000" w:sz="4" w:space="0"/>
              <w:right w:val="single" w:color="000000" w:sz="4" w:space="0"/>
            </w:tcBorders>
            <w:noWrap w:val="0"/>
            <w:vAlign w:val="center"/>
          </w:tcPr>
          <w:p w14:paraId="6640BE5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GSTZ-2-1-38</w:t>
            </w:r>
          </w:p>
        </w:tc>
        <w:tc>
          <w:tcPr>
            <w:tcW w:w="4177" w:type="dxa"/>
            <w:tcBorders>
              <w:top w:val="single" w:color="000000" w:sz="4" w:space="0"/>
              <w:left w:val="single" w:color="000000" w:sz="4" w:space="0"/>
              <w:right w:val="single" w:color="000000" w:sz="4" w:space="0"/>
            </w:tcBorders>
            <w:noWrap w:val="0"/>
            <w:vAlign w:val="center"/>
          </w:tcPr>
          <w:p w14:paraId="26FC7A02">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未按要求及时填报政府和社会资本合作项目信息系统的。</w:t>
            </w:r>
          </w:p>
        </w:tc>
        <w:tc>
          <w:tcPr>
            <w:tcW w:w="5286" w:type="dxa"/>
            <w:tcBorders>
              <w:top w:val="single" w:color="000000" w:sz="4" w:space="0"/>
              <w:left w:val="single" w:color="000000" w:sz="4" w:space="0"/>
              <w:bottom w:val="single" w:color="000000" w:sz="4" w:space="0"/>
            </w:tcBorders>
            <w:noWrap w:val="0"/>
            <w:vAlign w:val="center"/>
          </w:tcPr>
          <w:p w14:paraId="6085089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未及时填报，扣1分。</w:t>
            </w:r>
          </w:p>
        </w:tc>
      </w:tr>
      <w:tr w14:paraId="5688C9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3" w:hRule="atLeast"/>
          <w:jc w:val="center"/>
        </w:trPr>
        <w:tc>
          <w:tcPr>
            <w:tcW w:w="1434" w:type="dxa"/>
            <w:vMerge w:val="continue"/>
            <w:tcBorders>
              <w:top w:val="single" w:color="auto" w:sz="4" w:space="0"/>
              <w:bottom w:val="single" w:color="auto" w:sz="4" w:space="0"/>
              <w:right w:val="single" w:color="auto" w:sz="4" w:space="0"/>
            </w:tcBorders>
            <w:noWrap w:val="0"/>
            <w:vAlign w:val="center"/>
          </w:tcPr>
          <w:p w14:paraId="0F142965">
            <w:pPr>
              <w:spacing w:line="260" w:lineRule="exact"/>
              <w:jc w:val="center"/>
              <w:rPr>
                <w:rFonts w:ascii="Times New Roman" w:hAnsi="Times New Roman" w:eastAsia="宋体" w:cs="Times New Roman"/>
                <w:sz w:val="18"/>
                <w:szCs w:val="18"/>
              </w:rPr>
            </w:pPr>
          </w:p>
        </w:tc>
        <w:tc>
          <w:tcPr>
            <w:tcW w:w="1044" w:type="dxa"/>
            <w:vMerge w:val="continue"/>
            <w:tcBorders>
              <w:left w:val="single" w:color="auto" w:sz="4" w:space="0"/>
              <w:bottom w:val="single" w:color="auto" w:sz="4" w:space="0"/>
              <w:right w:val="single" w:color="auto" w:sz="4" w:space="0"/>
            </w:tcBorders>
            <w:noWrap/>
            <w:vAlign w:val="center"/>
          </w:tcPr>
          <w:p w14:paraId="2253EC2C">
            <w:pPr>
              <w:spacing w:line="260" w:lineRule="exact"/>
              <w:jc w:val="center"/>
              <w:rPr>
                <w:rFonts w:ascii="Times New Roman" w:hAnsi="Times New Roman" w:eastAsia="宋体" w:cs="Times New Roman"/>
                <w:sz w:val="18"/>
                <w:szCs w:val="18"/>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5D3D70A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其他失信行为</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CA1B4E1">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GSTZ-2-1-39</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34D32B4">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项目在运营及移交过程中，存在其他失信行为的情况。</w:t>
            </w:r>
          </w:p>
        </w:tc>
        <w:tc>
          <w:tcPr>
            <w:tcW w:w="5286" w:type="dxa"/>
            <w:tcBorders>
              <w:top w:val="single" w:color="000000" w:sz="4" w:space="0"/>
              <w:left w:val="single" w:color="000000" w:sz="4" w:space="0"/>
              <w:bottom w:val="single" w:color="000000" w:sz="4" w:space="0"/>
            </w:tcBorders>
            <w:noWrap w:val="0"/>
            <w:vAlign w:val="center"/>
          </w:tcPr>
          <w:p w14:paraId="5F0F08E6">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视问题大小，酌情扣1-2分/项。累计不超过4分。</w:t>
            </w:r>
          </w:p>
        </w:tc>
      </w:tr>
      <w:tr w14:paraId="11F4BE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7" w:hRule="atLeast"/>
          <w:jc w:val="center"/>
        </w:trPr>
        <w:tc>
          <w:tcPr>
            <w:tcW w:w="1434" w:type="dxa"/>
            <w:vMerge w:val="restart"/>
            <w:tcBorders>
              <w:top w:val="single" w:color="auto" w:sz="4" w:space="0"/>
              <w:bottom w:val="single" w:color="auto" w:sz="4" w:space="0"/>
              <w:right w:val="single" w:color="000000" w:sz="4" w:space="0"/>
            </w:tcBorders>
            <w:noWrap w:val="0"/>
            <w:vAlign w:val="center"/>
          </w:tcPr>
          <w:p w14:paraId="381117A6">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荣誉状况</w:t>
            </w:r>
          </w:p>
          <w:p w14:paraId="60D72B4C">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（累计最高加5分）</w:t>
            </w:r>
          </w:p>
        </w:tc>
        <w:tc>
          <w:tcPr>
            <w:tcW w:w="2338" w:type="dxa"/>
            <w:gridSpan w:val="2"/>
            <w:tcBorders>
              <w:top w:val="single" w:color="auto" w:sz="4" w:space="0"/>
              <w:left w:val="single" w:color="000000" w:sz="4" w:space="0"/>
              <w:right w:val="single" w:color="000000" w:sz="4" w:space="0"/>
            </w:tcBorders>
            <w:noWrap w:val="0"/>
            <w:vAlign w:val="center"/>
          </w:tcPr>
          <w:p w14:paraId="55AF5DF2">
            <w:pPr>
              <w:widowControl/>
              <w:spacing w:line="260" w:lineRule="exact"/>
              <w:jc w:val="center"/>
              <w:textAlignment w:val="center"/>
              <w:rPr>
                <w:rFonts w:ascii="Times New Roman" w:hAnsi="Times New Roman" w:eastAsia="宋体" w:cs="Times New Roman"/>
                <w:sz w:val="18"/>
                <w:szCs w:val="18"/>
              </w:rPr>
            </w:pPr>
            <w:r>
              <w:rPr>
                <w:rFonts w:hint="default" w:ascii="Times New Roman" w:hAnsi="Times New Roman" w:eastAsia="宋体" w:cs="Times New Roman"/>
                <w:sz w:val="18"/>
                <w:szCs w:val="18"/>
              </w:rPr>
              <w:t>重大项目开工</w:t>
            </w:r>
          </w:p>
        </w:tc>
        <w:tc>
          <w:tcPr>
            <w:tcW w:w="1220" w:type="dxa"/>
            <w:tcBorders>
              <w:top w:val="single" w:color="000000" w:sz="4" w:space="0"/>
              <w:left w:val="single" w:color="000000" w:sz="4" w:space="0"/>
              <w:right w:val="single" w:color="000000" w:sz="4" w:space="0"/>
            </w:tcBorders>
            <w:noWrap w:val="0"/>
            <w:vAlign w:val="center"/>
          </w:tcPr>
          <w:p w14:paraId="231D5F70">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GSTZ-2-1-40</w:t>
            </w:r>
          </w:p>
        </w:tc>
        <w:tc>
          <w:tcPr>
            <w:tcW w:w="4177" w:type="dxa"/>
            <w:tcBorders>
              <w:top w:val="single" w:color="000000" w:sz="4" w:space="0"/>
              <w:left w:val="single" w:color="000000" w:sz="4" w:space="0"/>
              <w:right w:val="single" w:color="000000" w:sz="4" w:space="0"/>
            </w:tcBorders>
            <w:noWrap w:val="0"/>
            <w:vAlign w:val="center"/>
          </w:tcPr>
          <w:p w14:paraId="5811A61B">
            <w:pPr>
              <w:widowControl/>
              <w:spacing w:line="260" w:lineRule="exact"/>
              <w:jc w:val="left"/>
              <w:textAlignment w:val="center"/>
              <w:rPr>
                <w:rFonts w:ascii="Times New Roman" w:hAnsi="Times New Roman" w:eastAsia="宋体" w:cs="Times New Roman"/>
                <w:kern w:val="0"/>
                <w:sz w:val="18"/>
                <w:szCs w:val="18"/>
                <w:lang w:bidi="ar"/>
              </w:rPr>
            </w:pPr>
            <w:r>
              <w:rPr>
                <w:rFonts w:hint="default" w:ascii="Times New Roman" w:hAnsi="Times New Roman" w:eastAsia="宋体" w:cs="Times New Roman"/>
                <w:kern w:val="0"/>
                <w:sz w:val="18"/>
                <w:szCs w:val="18"/>
                <w:lang w:bidi="ar"/>
              </w:rPr>
              <w:t>按期完成国省重大项目开工目标</w:t>
            </w:r>
          </w:p>
        </w:tc>
        <w:tc>
          <w:tcPr>
            <w:tcW w:w="5286" w:type="dxa"/>
            <w:tcBorders>
              <w:top w:val="single" w:color="000000" w:sz="4" w:space="0"/>
              <w:left w:val="single" w:color="000000" w:sz="4" w:space="0"/>
              <w:bottom w:val="single" w:color="000000" w:sz="4" w:space="0"/>
            </w:tcBorders>
            <w:noWrap w:val="0"/>
            <w:vAlign w:val="center"/>
          </w:tcPr>
          <w:p w14:paraId="36D920CB">
            <w:pPr>
              <w:widowControl/>
              <w:spacing w:line="260" w:lineRule="exact"/>
              <w:jc w:val="left"/>
              <w:textAlignment w:val="center"/>
              <w:rPr>
                <w:rFonts w:ascii="Times New Roman" w:hAnsi="Times New Roman" w:eastAsia="宋体" w:cs="Times New Roman"/>
                <w:kern w:val="0"/>
                <w:sz w:val="18"/>
                <w:szCs w:val="18"/>
                <w:lang w:bidi="ar"/>
              </w:rPr>
            </w:pPr>
            <w:r>
              <w:rPr>
                <w:rFonts w:hint="default" w:ascii="Times New Roman" w:hAnsi="Times New Roman" w:eastAsia="宋体" w:cs="Times New Roman"/>
                <w:kern w:val="0"/>
                <w:sz w:val="18"/>
                <w:szCs w:val="18"/>
                <w:lang w:bidi="ar"/>
              </w:rPr>
              <w:t>加3分。</w:t>
            </w:r>
          </w:p>
        </w:tc>
      </w:tr>
      <w:tr w14:paraId="275AD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95" w:hRule="atLeast"/>
          <w:jc w:val="center"/>
        </w:trPr>
        <w:tc>
          <w:tcPr>
            <w:tcW w:w="1434" w:type="dxa"/>
            <w:vMerge w:val="continue"/>
            <w:tcBorders>
              <w:top w:val="single" w:color="auto" w:sz="4" w:space="0"/>
              <w:bottom w:val="single" w:color="000000" w:sz="4" w:space="0"/>
              <w:right w:val="single" w:color="000000" w:sz="4" w:space="0"/>
            </w:tcBorders>
            <w:noWrap w:val="0"/>
            <w:vAlign w:val="center"/>
          </w:tcPr>
          <w:p w14:paraId="24FDA167">
            <w:pPr>
              <w:spacing w:line="260" w:lineRule="exact"/>
              <w:jc w:val="left"/>
              <w:rPr>
                <w:rFonts w:ascii="Times New Roman" w:hAnsi="Times New Roman" w:eastAsia="宋体" w:cs="Times New Roman"/>
                <w:sz w:val="18"/>
                <w:szCs w:val="18"/>
              </w:rPr>
            </w:pPr>
          </w:p>
        </w:tc>
        <w:tc>
          <w:tcPr>
            <w:tcW w:w="2338" w:type="dxa"/>
            <w:gridSpan w:val="2"/>
            <w:tcBorders>
              <w:top w:val="single" w:color="auto" w:sz="4" w:space="0"/>
              <w:left w:val="single" w:color="000000" w:sz="4" w:space="0"/>
              <w:bottom w:val="single" w:color="000000" w:sz="4" w:space="0"/>
              <w:right w:val="single" w:color="000000" w:sz="4" w:space="0"/>
            </w:tcBorders>
            <w:noWrap w:val="0"/>
            <w:vAlign w:val="center"/>
          </w:tcPr>
          <w:p w14:paraId="5FA941B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应急抢险</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30B4F25">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GSTZ-2-1-41</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44B5974C">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积极参与应急抢险处置，受到政府或</w:t>
            </w:r>
            <w:r>
              <w:rPr>
                <w:rFonts w:hint="default" w:ascii="Times New Roman" w:hAnsi="Times New Roman" w:eastAsia="宋体" w:cs="Times New Roman"/>
                <w:kern w:val="0"/>
                <w:sz w:val="18"/>
                <w:szCs w:val="18"/>
                <w:lang w:bidi="ar"/>
              </w:rPr>
              <w:t>相关行政</w:t>
            </w:r>
            <w:r>
              <w:rPr>
                <w:rFonts w:ascii="Times New Roman" w:hAnsi="Times New Roman" w:eastAsia="宋体" w:cs="Times New Roman"/>
                <w:kern w:val="0"/>
                <w:sz w:val="18"/>
                <w:szCs w:val="18"/>
                <w:lang w:bidi="ar"/>
              </w:rPr>
              <w:t>部门表彰。</w:t>
            </w:r>
          </w:p>
        </w:tc>
        <w:tc>
          <w:tcPr>
            <w:tcW w:w="5286" w:type="dxa"/>
            <w:tcBorders>
              <w:top w:val="single" w:color="000000" w:sz="4" w:space="0"/>
              <w:left w:val="single" w:color="000000" w:sz="4" w:space="0"/>
              <w:bottom w:val="single" w:color="000000" w:sz="4" w:space="0"/>
            </w:tcBorders>
            <w:noWrap w:val="0"/>
            <w:vAlign w:val="center"/>
          </w:tcPr>
          <w:p w14:paraId="4A94EA74">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受到市级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部门表彰的，加0.5分/次；</w:t>
            </w:r>
          </w:p>
          <w:p w14:paraId="01E7E72C">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受到市委、市政府或</w:t>
            </w:r>
            <w:r>
              <w:rPr>
                <w:rFonts w:hint="default" w:ascii="Times New Roman" w:hAnsi="Times New Roman" w:eastAsia="宋体" w:cs="Times New Roman"/>
                <w:kern w:val="0"/>
                <w:sz w:val="18"/>
                <w:szCs w:val="18"/>
                <w:lang w:bidi="ar"/>
              </w:rPr>
              <w:t>省</w:t>
            </w:r>
            <w:r>
              <w:rPr>
                <w:rFonts w:ascii="Times New Roman" w:hAnsi="Times New Roman" w:eastAsia="宋体" w:cs="Times New Roman"/>
                <w:kern w:val="0"/>
                <w:sz w:val="18"/>
                <w:szCs w:val="18"/>
                <w:lang w:bidi="ar"/>
              </w:rPr>
              <w:t>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w:t>
            </w:r>
            <w:r>
              <w:rPr>
                <w:rFonts w:hint="default"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分/次；</w:t>
            </w:r>
          </w:p>
          <w:p w14:paraId="6192A9E5">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受到省委、省政府或</w:t>
            </w:r>
            <w:r>
              <w:rPr>
                <w:rFonts w:hint="default" w:ascii="Times New Roman" w:hAnsi="Times New Roman" w:eastAsia="宋体" w:cs="Times New Roman"/>
                <w:kern w:val="0"/>
                <w:sz w:val="18"/>
                <w:szCs w:val="18"/>
                <w:lang w:bidi="ar"/>
              </w:rPr>
              <w:t>部</w:t>
            </w:r>
            <w:r>
              <w:rPr>
                <w:rFonts w:ascii="Times New Roman" w:hAnsi="Times New Roman" w:eastAsia="宋体" w:cs="Times New Roman"/>
                <w:kern w:val="0"/>
                <w:sz w:val="18"/>
                <w:szCs w:val="18"/>
                <w:lang w:bidi="ar"/>
              </w:rPr>
              <w:t>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w:t>
            </w:r>
            <w:r>
              <w:rPr>
                <w:rFonts w:hint="default"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分/次；</w:t>
            </w:r>
          </w:p>
          <w:p w14:paraId="13599FBB">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受到党中央、国务院表彰的，加</w:t>
            </w:r>
            <w:r>
              <w:rPr>
                <w:rFonts w:hint="default" w:ascii="Times New Roman" w:hAnsi="Times New Roman" w:eastAsia="宋体" w:cs="Times New Roman"/>
                <w:kern w:val="0"/>
                <w:sz w:val="18"/>
                <w:szCs w:val="18"/>
                <w:lang w:bidi="ar"/>
              </w:rPr>
              <w:t>3</w:t>
            </w:r>
            <w:r>
              <w:rPr>
                <w:rFonts w:ascii="Times New Roman" w:hAnsi="Times New Roman" w:eastAsia="宋体" w:cs="Times New Roman"/>
                <w:kern w:val="0"/>
                <w:sz w:val="18"/>
                <w:szCs w:val="18"/>
                <w:lang w:bidi="ar"/>
              </w:rPr>
              <w:t>分/次。</w:t>
            </w:r>
          </w:p>
          <w:p w14:paraId="07B79147">
            <w:pPr>
              <w:widowControl/>
              <w:spacing w:line="260" w:lineRule="exact"/>
              <w:jc w:val="left"/>
              <w:textAlignment w:val="center"/>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同一事项按就高不就低的原则，不重复加分。</w:t>
            </w:r>
          </w:p>
        </w:tc>
      </w:tr>
      <w:tr w14:paraId="7AB72B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jc w:val="center"/>
        </w:trPr>
        <w:tc>
          <w:tcPr>
            <w:tcW w:w="1434" w:type="dxa"/>
            <w:vMerge w:val="continue"/>
            <w:tcBorders>
              <w:top w:val="single" w:color="000000" w:sz="4" w:space="0"/>
              <w:bottom w:val="single" w:color="000000" w:sz="4" w:space="0"/>
              <w:right w:val="single" w:color="000000" w:sz="4" w:space="0"/>
            </w:tcBorders>
            <w:noWrap w:val="0"/>
            <w:vAlign w:val="center"/>
          </w:tcPr>
          <w:p w14:paraId="5BE25422">
            <w:pPr>
              <w:spacing w:line="260" w:lineRule="exact"/>
              <w:jc w:val="left"/>
              <w:rPr>
                <w:rFonts w:ascii="Times New Roman" w:hAnsi="Times New Roman" w:eastAsia="宋体" w:cs="Times New Roman"/>
                <w:sz w:val="18"/>
                <w:szCs w:val="18"/>
              </w:rPr>
            </w:pPr>
          </w:p>
        </w:tc>
        <w:tc>
          <w:tcPr>
            <w:tcW w:w="2338" w:type="dxa"/>
            <w:gridSpan w:val="2"/>
            <w:tcBorders>
              <w:top w:val="single" w:color="000000" w:sz="4" w:space="0"/>
              <w:left w:val="single" w:color="000000" w:sz="4" w:space="0"/>
              <w:bottom w:val="single" w:color="000000" w:sz="4" w:space="0"/>
              <w:right w:val="single" w:color="000000" w:sz="4" w:space="0"/>
            </w:tcBorders>
            <w:noWrap w:val="0"/>
            <w:vAlign w:val="center"/>
          </w:tcPr>
          <w:p w14:paraId="636AF35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建设运营</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AA74838">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GSTZ-2-1-42</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44696486">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评价项目建设、运营过程中表现优秀获得相关表彰的。</w:t>
            </w:r>
          </w:p>
        </w:tc>
        <w:tc>
          <w:tcPr>
            <w:tcW w:w="5286" w:type="dxa"/>
            <w:tcBorders>
              <w:top w:val="single" w:color="000000" w:sz="4" w:space="0"/>
              <w:left w:val="single" w:color="000000" w:sz="4" w:space="0"/>
              <w:bottom w:val="single" w:color="000000" w:sz="4" w:space="0"/>
            </w:tcBorders>
            <w:noWrap w:val="0"/>
            <w:vAlign w:val="center"/>
          </w:tcPr>
          <w:p w14:paraId="01320049">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受到交通运输部或省委、省政府表彰的，加3分；</w:t>
            </w:r>
          </w:p>
          <w:p w14:paraId="4D72DA7A">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获得</w:t>
            </w:r>
            <w:r>
              <w:rPr>
                <w:rFonts w:hint="default" w:ascii="Times New Roman" w:hAnsi="Times New Roman" w:eastAsia="宋体" w:cs="Times New Roman"/>
                <w:kern w:val="0"/>
                <w:sz w:val="18"/>
                <w:szCs w:val="18"/>
                <w:lang w:bidi="ar"/>
              </w:rPr>
              <w:t>省部级及以上</w:t>
            </w:r>
            <w:r>
              <w:rPr>
                <w:rFonts w:ascii="Times New Roman" w:hAnsi="Times New Roman" w:eastAsia="宋体" w:cs="Times New Roman"/>
                <w:kern w:val="0"/>
                <w:sz w:val="18"/>
                <w:szCs w:val="18"/>
                <w:lang w:bidi="ar"/>
              </w:rPr>
              <w:t>工程建设</w:t>
            </w:r>
            <w:r>
              <w:rPr>
                <w:rFonts w:hint="default" w:ascii="Times New Roman" w:hAnsi="Times New Roman" w:eastAsia="宋体" w:cs="Times New Roman"/>
                <w:kern w:val="0"/>
                <w:sz w:val="18"/>
                <w:szCs w:val="18"/>
                <w:lang w:bidi="ar"/>
              </w:rPr>
              <w:t>质量</w:t>
            </w:r>
            <w:r>
              <w:rPr>
                <w:rFonts w:ascii="Times New Roman" w:hAnsi="Times New Roman" w:eastAsia="宋体" w:cs="Times New Roman"/>
                <w:kern w:val="0"/>
                <w:sz w:val="18"/>
                <w:szCs w:val="18"/>
                <w:lang w:bidi="ar"/>
              </w:rPr>
              <w:t>奖加2分/项；</w:t>
            </w:r>
          </w:p>
          <w:p w14:paraId="0B066B7D">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其他建设、运营管理类的视情况加1-2分/次。</w:t>
            </w:r>
          </w:p>
        </w:tc>
      </w:tr>
      <w:tr w14:paraId="704AC8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1" w:hRule="atLeast"/>
          <w:jc w:val="center"/>
        </w:trPr>
        <w:tc>
          <w:tcPr>
            <w:tcW w:w="1434" w:type="dxa"/>
            <w:vMerge w:val="continue"/>
            <w:tcBorders>
              <w:top w:val="single" w:color="000000" w:sz="4" w:space="0"/>
              <w:bottom w:val="single" w:color="000000" w:sz="4" w:space="0"/>
              <w:right w:val="single" w:color="000000" w:sz="4" w:space="0"/>
            </w:tcBorders>
            <w:noWrap w:val="0"/>
            <w:vAlign w:val="center"/>
          </w:tcPr>
          <w:p w14:paraId="65AED218">
            <w:pPr>
              <w:spacing w:line="260" w:lineRule="exact"/>
              <w:jc w:val="left"/>
              <w:rPr>
                <w:rFonts w:ascii="Times New Roman" w:hAnsi="Times New Roman" w:eastAsia="宋体" w:cs="Times New Roman"/>
                <w:sz w:val="18"/>
                <w:szCs w:val="18"/>
              </w:rPr>
            </w:pPr>
          </w:p>
        </w:tc>
        <w:tc>
          <w:tcPr>
            <w:tcW w:w="2338" w:type="dxa"/>
            <w:gridSpan w:val="2"/>
            <w:tcBorders>
              <w:top w:val="single" w:color="000000" w:sz="4" w:space="0"/>
              <w:left w:val="single" w:color="000000" w:sz="4" w:space="0"/>
              <w:bottom w:val="single" w:color="000000" w:sz="4" w:space="0"/>
              <w:right w:val="single" w:color="000000" w:sz="4" w:space="0"/>
            </w:tcBorders>
            <w:noWrap w:val="0"/>
            <w:vAlign w:val="center"/>
          </w:tcPr>
          <w:p w14:paraId="46550E53">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新技术应用</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FA607C5">
            <w:pPr>
              <w:widowControl/>
              <w:spacing w:line="260" w:lineRule="exact"/>
              <w:jc w:val="left"/>
              <w:textAlignment w:val="center"/>
              <w:rPr>
                <w:rFonts w:hint="default" w:ascii="Times New Roman" w:hAnsi="Times New Roman" w:eastAsia="宋体" w:cs="Times New Roman"/>
                <w:sz w:val="18"/>
                <w:szCs w:val="18"/>
              </w:rPr>
            </w:pPr>
            <w:r>
              <w:rPr>
                <w:rFonts w:ascii="Times New Roman" w:hAnsi="Times New Roman" w:eastAsia="宋体" w:cs="Times New Roman"/>
                <w:kern w:val="0"/>
                <w:sz w:val="18"/>
                <w:szCs w:val="18"/>
                <w:lang w:bidi="ar"/>
              </w:rPr>
              <w:t>GSTZ-2-1-4</w:t>
            </w:r>
            <w:r>
              <w:rPr>
                <w:rFonts w:hint="default" w:ascii="Times New Roman" w:hAnsi="Times New Roman" w:eastAsia="宋体" w:cs="Times New Roman"/>
                <w:kern w:val="0"/>
                <w:sz w:val="18"/>
                <w:szCs w:val="18"/>
                <w:lang w:bidi="ar"/>
              </w:rPr>
              <w:t>3</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4BD3D2BB">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在项目投资建设过程中推广应用部、省交通运输主管部门发布的新技术。</w:t>
            </w:r>
          </w:p>
        </w:tc>
        <w:tc>
          <w:tcPr>
            <w:tcW w:w="5286" w:type="dxa"/>
            <w:tcBorders>
              <w:top w:val="single" w:color="000000" w:sz="4" w:space="0"/>
              <w:left w:val="single" w:color="000000" w:sz="4" w:space="0"/>
              <w:bottom w:val="single" w:color="000000" w:sz="4" w:space="0"/>
            </w:tcBorders>
            <w:noWrap w:val="0"/>
            <w:vAlign w:val="center"/>
          </w:tcPr>
          <w:p w14:paraId="7CB104FD">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提供相关证明材料，每项加0.5分，累计最高加2分。</w:t>
            </w:r>
          </w:p>
        </w:tc>
      </w:tr>
      <w:tr w14:paraId="566E31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1" w:hRule="atLeast"/>
          <w:jc w:val="center"/>
        </w:trPr>
        <w:tc>
          <w:tcPr>
            <w:tcW w:w="1434" w:type="dxa"/>
            <w:vMerge w:val="continue"/>
            <w:tcBorders>
              <w:top w:val="single" w:color="000000" w:sz="4" w:space="0"/>
              <w:bottom w:val="single" w:color="000000" w:sz="4" w:space="0"/>
              <w:right w:val="single" w:color="000000" w:sz="4" w:space="0"/>
            </w:tcBorders>
            <w:noWrap w:val="0"/>
            <w:vAlign w:val="center"/>
          </w:tcPr>
          <w:p w14:paraId="0221E71C">
            <w:pPr>
              <w:spacing w:line="260" w:lineRule="exact"/>
              <w:jc w:val="left"/>
              <w:rPr>
                <w:rFonts w:ascii="Times New Roman" w:hAnsi="Times New Roman" w:eastAsia="宋体" w:cs="Times New Roman"/>
                <w:sz w:val="18"/>
                <w:szCs w:val="18"/>
              </w:rPr>
            </w:pPr>
          </w:p>
        </w:tc>
        <w:tc>
          <w:tcPr>
            <w:tcW w:w="2338" w:type="dxa"/>
            <w:gridSpan w:val="2"/>
            <w:tcBorders>
              <w:top w:val="single" w:color="000000" w:sz="4" w:space="0"/>
              <w:left w:val="single" w:color="000000" w:sz="4" w:space="0"/>
              <w:bottom w:val="single" w:color="000000" w:sz="4" w:space="0"/>
              <w:right w:val="single" w:color="000000" w:sz="4" w:space="0"/>
            </w:tcBorders>
            <w:noWrap w:val="0"/>
            <w:vAlign w:val="center"/>
          </w:tcPr>
          <w:p w14:paraId="705506FF">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投融资创新</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2837570">
            <w:pPr>
              <w:widowControl/>
              <w:spacing w:line="260" w:lineRule="exact"/>
              <w:jc w:val="left"/>
              <w:textAlignment w:val="center"/>
              <w:rPr>
                <w:rFonts w:hint="default" w:ascii="Times New Roman" w:hAnsi="Times New Roman" w:eastAsia="宋体" w:cs="Times New Roman"/>
                <w:sz w:val="18"/>
                <w:szCs w:val="18"/>
              </w:rPr>
            </w:pPr>
            <w:r>
              <w:rPr>
                <w:rFonts w:ascii="Times New Roman" w:hAnsi="Times New Roman" w:eastAsia="宋体" w:cs="Times New Roman"/>
                <w:kern w:val="0"/>
                <w:sz w:val="18"/>
                <w:szCs w:val="18"/>
                <w:lang w:bidi="ar"/>
              </w:rPr>
              <w:t>GSTZ-2-1-4</w:t>
            </w:r>
            <w:r>
              <w:rPr>
                <w:rFonts w:hint="default" w:ascii="Times New Roman" w:hAnsi="Times New Roman" w:eastAsia="宋体" w:cs="Times New Roman"/>
                <w:kern w:val="0"/>
                <w:sz w:val="18"/>
                <w:szCs w:val="18"/>
                <w:lang w:bidi="ar"/>
              </w:rPr>
              <w:t>4</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5D8B24DE">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评价项目依法合规</w:t>
            </w:r>
            <w:r>
              <w:rPr>
                <w:rFonts w:hint="default" w:ascii="Times New Roman" w:hAnsi="Times New Roman" w:eastAsia="宋体" w:cs="Times New Roman"/>
                <w:kern w:val="0"/>
                <w:sz w:val="18"/>
                <w:szCs w:val="18"/>
                <w:lang w:bidi="ar"/>
              </w:rPr>
              <w:t>创新开展多渠道</w:t>
            </w:r>
            <w:r>
              <w:rPr>
                <w:rFonts w:ascii="Times New Roman" w:hAnsi="Times New Roman" w:eastAsia="宋体" w:cs="Times New Roman"/>
                <w:kern w:val="0"/>
                <w:sz w:val="18"/>
                <w:szCs w:val="18"/>
                <w:lang w:bidi="ar"/>
              </w:rPr>
              <w:t>融资，提升资产利用效率。</w:t>
            </w:r>
          </w:p>
        </w:tc>
        <w:tc>
          <w:tcPr>
            <w:tcW w:w="5286" w:type="dxa"/>
            <w:tcBorders>
              <w:top w:val="single" w:color="000000" w:sz="4" w:space="0"/>
              <w:left w:val="single" w:color="000000" w:sz="4" w:space="0"/>
              <w:bottom w:val="single" w:color="000000" w:sz="4" w:space="0"/>
            </w:tcBorders>
            <w:noWrap w:val="0"/>
            <w:vAlign w:val="center"/>
          </w:tcPr>
          <w:p w14:paraId="61BE32B0">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提供相关证明材料，加3分。</w:t>
            </w:r>
          </w:p>
        </w:tc>
      </w:tr>
      <w:tr w14:paraId="535E09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jc w:val="center"/>
        </w:trPr>
        <w:tc>
          <w:tcPr>
            <w:tcW w:w="1434" w:type="dxa"/>
            <w:vMerge w:val="continue"/>
            <w:tcBorders>
              <w:top w:val="single" w:color="000000" w:sz="4" w:space="0"/>
              <w:right w:val="single" w:color="000000" w:sz="4" w:space="0"/>
            </w:tcBorders>
            <w:noWrap w:val="0"/>
            <w:vAlign w:val="center"/>
          </w:tcPr>
          <w:p w14:paraId="5F2945E7">
            <w:pPr>
              <w:spacing w:line="260" w:lineRule="exact"/>
              <w:jc w:val="left"/>
              <w:rPr>
                <w:rFonts w:ascii="Times New Roman" w:hAnsi="Times New Roman" w:eastAsia="宋体" w:cs="Times New Roman"/>
                <w:sz w:val="18"/>
                <w:szCs w:val="18"/>
              </w:rPr>
            </w:pPr>
          </w:p>
        </w:tc>
        <w:tc>
          <w:tcPr>
            <w:tcW w:w="2338" w:type="dxa"/>
            <w:gridSpan w:val="2"/>
            <w:tcBorders>
              <w:top w:val="single" w:color="000000" w:sz="4" w:space="0"/>
              <w:left w:val="single" w:color="000000" w:sz="4" w:space="0"/>
              <w:right w:val="single" w:color="000000" w:sz="4" w:space="0"/>
            </w:tcBorders>
            <w:noWrap w:val="0"/>
            <w:vAlign w:val="center"/>
          </w:tcPr>
          <w:p w14:paraId="3320541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交通+产业</w:t>
            </w:r>
          </w:p>
        </w:tc>
        <w:tc>
          <w:tcPr>
            <w:tcW w:w="1220" w:type="dxa"/>
            <w:tcBorders>
              <w:top w:val="single" w:color="000000" w:sz="4" w:space="0"/>
              <w:left w:val="single" w:color="000000" w:sz="4" w:space="0"/>
              <w:right w:val="single" w:color="000000" w:sz="4" w:space="0"/>
            </w:tcBorders>
            <w:noWrap w:val="0"/>
            <w:vAlign w:val="center"/>
          </w:tcPr>
          <w:p w14:paraId="32ED4E8C">
            <w:pPr>
              <w:widowControl/>
              <w:spacing w:line="260" w:lineRule="exact"/>
              <w:jc w:val="left"/>
              <w:textAlignment w:val="center"/>
              <w:rPr>
                <w:rFonts w:hint="default" w:ascii="Times New Roman" w:hAnsi="Times New Roman" w:eastAsia="宋体" w:cs="Times New Roman"/>
                <w:sz w:val="18"/>
                <w:szCs w:val="18"/>
              </w:rPr>
            </w:pPr>
            <w:r>
              <w:rPr>
                <w:rFonts w:ascii="Times New Roman" w:hAnsi="Times New Roman" w:eastAsia="宋体" w:cs="Times New Roman"/>
                <w:kern w:val="0"/>
                <w:sz w:val="18"/>
                <w:szCs w:val="18"/>
                <w:lang w:bidi="ar"/>
              </w:rPr>
              <w:t>GSTZ-2-1-4</w:t>
            </w:r>
            <w:r>
              <w:rPr>
                <w:rFonts w:hint="default" w:ascii="Times New Roman" w:hAnsi="Times New Roman" w:eastAsia="宋体" w:cs="Times New Roman"/>
                <w:kern w:val="0"/>
                <w:sz w:val="18"/>
                <w:szCs w:val="18"/>
                <w:lang w:bidi="ar"/>
              </w:rPr>
              <w:t>5</w:t>
            </w:r>
          </w:p>
        </w:tc>
        <w:tc>
          <w:tcPr>
            <w:tcW w:w="4177" w:type="dxa"/>
            <w:tcBorders>
              <w:top w:val="single" w:color="000000" w:sz="4" w:space="0"/>
              <w:left w:val="single" w:color="000000" w:sz="4" w:space="0"/>
              <w:right w:val="single" w:color="000000" w:sz="4" w:space="0"/>
            </w:tcBorders>
            <w:noWrap w:val="0"/>
            <w:vAlign w:val="center"/>
          </w:tcPr>
          <w:p w14:paraId="786EBDD3">
            <w:pPr>
              <w:widowControl/>
              <w:spacing w:line="260" w:lineRule="exact"/>
              <w:jc w:val="left"/>
              <w:textAlignment w:val="center"/>
              <w:rPr>
                <w:rFonts w:ascii="Times New Roman" w:hAnsi="Times New Roman" w:eastAsia="宋体" w:cs="Times New Roman"/>
                <w:sz w:val="18"/>
                <w:szCs w:val="18"/>
              </w:rPr>
            </w:pPr>
            <w:r>
              <w:rPr>
                <w:rStyle w:val="6"/>
                <w:rFonts w:hint="default" w:ascii="Times New Roman" w:hAnsi="Times New Roman" w:cs="Times New Roman"/>
                <w:color w:val="auto"/>
                <w:lang w:bidi="ar"/>
              </w:rPr>
              <w:t>大力拓展交通+产业的融合创新经营模式，并取得相应成果。</w:t>
            </w:r>
          </w:p>
        </w:tc>
        <w:tc>
          <w:tcPr>
            <w:tcW w:w="5286" w:type="dxa"/>
            <w:tcBorders>
              <w:top w:val="single" w:color="000000" w:sz="4" w:space="0"/>
              <w:left w:val="single" w:color="000000" w:sz="4" w:space="0"/>
            </w:tcBorders>
            <w:noWrap w:val="0"/>
            <w:vAlign w:val="center"/>
          </w:tcPr>
          <w:p w14:paraId="4F630A24">
            <w:pPr>
              <w:widowControl/>
              <w:spacing w:line="260" w:lineRule="exact"/>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提供相关证明材料，每项加1分，累计最高加2分。</w:t>
            </w:r>
          </w:p>
        </w:tc>
      </w:tr>
    </w:tbl>
    <w:p w14:paraId="0C79AA5A">
      <w:pPr>
        <w:pStyle w:val="2"/>
        <w:spacing w:after="0" w:line="500" w:lineRule="exact"/>
        <w:jc w:val="center"/>
        <w:rPr>
          <w:rFonts w:ascii="Times New Roman" w:hAnsi="Times New Roman" w:eastAsia="方正小标宋_GBK" w:cs="Times New Roman"/>
          <w:kern w:val="0"/>
          <w:sz w:val="32"/>
          <w:szCs w:val="32"/>
          <w:lang w:bidi="ar"/>
        </w:rPr>
      </w:pPr>
      <w:r>
        <w:rPr>
          <w:rFonts w:ascii="Times New Roman" w:hAnsi="Times New Roman" w:eastAsia="宋体" w:cs="Times New Roman"/>
        </w:rPr>
        <w:br w:type="page"/>
      </w:r>
      <w:r>
        <w:rPr>
          <w:rFonts w:hint="default" w:ascii="Times New Roman" w:hAnsi="Times New Roman" w:eastAsia="方正小标宋_GBK" w:cs="Times New Roman"/>
          <w:kern w:val="0"/>
          <w:sz w:val="44"/>
          <w:szCs w:val="44"/>
          <w:lang w:bidi="ar"/>
        </w:rPr>
        <w:t>表2  四川省高速公路投资人年度信用评价评分标准（投资能力）</w:t>
      </w:r>
    </w:p>
    <w:tbl>
      <w:tblPr>
        <w:tblStyle w:val="4"/>
        <w:tblW w:w="13217" w:type="dxa"/>
        <w:jc w:val="center"/>
        <w:tblLayout w:type="fixed"/>
        <w:tblCellMar>
          <w:top w:w="0" w:type="dxa"/>
          <w:left w:w="108" w:type="dxa"/>
          <w:bottom w:w="0" w:type="dxa"/>
          <w:right w:w="108" w:type="dxa"/>
        </w:tblCellMar>
      </w:tblPr>
      <w:tblGrid>
        <w:gridCol w:w="1182"/>
        <w:gridCol w:w="1466"/>
        <w:gridCol w:w="1441"/>
        <w:gridCol w:w="4015"/>
        <w:gridCol w:w="5113"/>
      </w:tblGrid>
      <w:tr w14:paraId="03FA874A">
        <w:tblPrEx>
          <w:tblCellMar>
            <w:top w:w="0" w:type="dxa"/>
            <w:left w:w="108" w:type="dxa"/>
            <w:bottom w:w="0" w:type="dxa"/>
            <w:right w:w="108" w:type="dxa"/>
          </w:tblCellMar>
        </w:tblPrEx>
        <w:trPr>
          <w:trHeight w:val="504" w:hRule="atLeast"/>
          <w:tblHeader/>
          <w:jc w:val="center"/>
        </w:trPr>
        <w:tc>
          <w:tcPr>
            <w:tcW w:w="1182" w:type="dxa"/>
            <w:tcBorders>
              <w:top w:val="single" w:color="000000" w:sz="4" w:space="0"/>
              <w:left w:val="single" w:color="000000" w:sz="4" w:space="0"/>
              <w:bottom w:val="single" w:color="auto" w:sz="4" w:space="0"/>
              <w:right w:val="single" w:color="000000" w:sz="4" w:space="0"/>
            </w:tcBorders>
            <w:noWrap w:val="0"/>
            <w:vAlign w:val="center"/>
          </w:tcPr>
          <w:p w14:paraId="2D0A393F">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一级指标</w:t>
            </w:r>
          </w:p>
        </w:tc>
        <w:tc>
          <w:tcPr>
            <w:tcW w:w="1466" w:type="dxa"/>
            <w:tcBorders>
              <w:top w:val="single" w:color="000000" w:sz="4" w:space="0"/>
              <w:left w:val="single" w:color="000000" w:sz="4" w:space="0"/>
              <w:bottom w:val="single" w:color="auto" w:sz="4" w:space="0"/>
              <w:right w:val="single" w:color="000000" w:sz="4" w:space="0"/>
            </w:tcBorders>
            <w:noWrap w:val="0"/>
            <w:vAlign w:val="center"/>
          </w:tcPr>
          <w:p w14:paraId="26030B7C">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二级指标</w:t>
            </w:r>
          </w:p>
        </w:tc>
        <w:tc>
          <w:tcPr>
            <w:tcW w:w="1441" w:type="dxa"/>
            <w:tcBorders>
              <w:top w:val="single" w:color="000000" w:sz="4" w:space="0"/>
              <w:left w:val="single" w:color="000000" w:sz="4" w:space="0"/>
              <w:bottom w:val="single" w:color="auto" w:sz="4" w:space="0"/>
              <w:right w:val="single" w:color="000000" w:sz="4" w:space="0"/>
            </w:tcBorders>
            <w:noWrap w:val="0"/>
            <w:vAlign w:val="center"/>
          </w:tcPr>
          <w:p w14:paraId="6F20797D">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行为代码</w:t>
            </w:r>
          </w:p>
        </w:tc>
        <w:tc>
          <w:tcPr>
            <w:tcW w:w="4015" w:type="dxa"/>
            <w:tcBorders>
              <w:top w:val="single" w:color="000000" w:sz="4" w:space="0"/>
              <w:left w:val="single" w:color="000000" w:sz="4" w:space="0"/>
              <w:bottom w:val="single" w:color="auto" w:sz="4" w:space="0"/>
              <w:right w:val="single" w:color="000000" w:sz="4" w:space="0"/>
            </w:tcBorders>
            <w:noWrap w:val="0"/>
            <w:vAlign w:val="center"/>
          </w:tcPr>
          <w:p w14:paraId="62A0BC97">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评价内容</w:t>
            </w:r>
          </w:p>
        </w:tc>
        <w:tc>
          <w:tcPr>
            <w:tcW w:w="5113" w:type="dxa"/>
            <w:tcBorders>
              <w:top w:val="single" w:color="000000" w:sz="4" w:space="0"/>
              <w:left w:val="single" w:color="000000" w:sz="4" w:space="0"/>
              <w:bottom w:val="single" w:color="auto" w:sz="4" w:space="0"/>
              <w:right w:val="single" w:color="000000" w:sz="4" w:space="0"/>
            </w:tcBorders>
            <w:noWrap w:val="0"/>
            <w:vAlign w:val="center"/>
          </w:tcPr>
          <w:p w14:paraId="33B62E4D">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评分标准</w:t>
            </w:r>
          </w:p>
        </w:tc>
      </w:tr>
      <w:tr w14:paraId="0F554EAA">
        <w:tblPrEx>
          <w:tblCellMar>
            <w:top w:w="0" w:type="dxa"/>
            <w:left w:w="108" w:type="dxa"/>
            <w:bottom w:w="0" w:type="dxa"/>
            <w:right w:w="108" w:type="dxa"/>
          </w:tblCellMar>
        </w:tblPrEx>
        <w:trPr>
          <w:trHeight w:val="493" w:hRule="atLeast"/>
          <w:jc w:val="center"/>
        </w:trPr>
        <w:tc>
          <w:tcPr>
            <w:tcW w:w="1182" w:type="dxa"/>
            <w:vMerge w:val="restart"/>
            <w:tcBorders>
              <w:top w:val="single" w:color="auto" w:sz="4" w:space="0"/>
              <w:left w:val="single" w:color="auto" w:sz="4" w:space="0"/>
              <w:right w:val="single" w:color="auto" w:sz="4" w:space="0"/>
            </w:tcBorders>
            <w:noWrap w:val="0"/>
            <w:vAlign w:val="center"/>
          </w:tcPr>
          <w:p w14:paraId="7E4116E7">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财务</w:t>
            </w:r>
            <w:r>
              <w:rPr>
                <w:rFonts w:hint="default" w:ascii="Times New Roman" w:hAnsi="Times New Roman" w:eastAsia="宋体" w:cs="Times New Roman"/>
                <w:kern w:val="0"/>
                <w:sz w:val="18"/>
                <w:szCs w:val="18"/>
                <w:lang w:bidi="ar"/>
              </w:rPr>
              <w:t>状况</w:t>
            </w:r>
          </w:p>
          <w:p w14:paraId="597DBF7C">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（满分40分，扣完为止）</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816D844">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年度财务审计报告</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DF5E320">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GSTZ-2-2-01</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79332026">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未按要求提供评价年度财务审计报告。</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1773E36F">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扣10分。</w:t>
            </w:r>
          </w:p>
        </w:tc>
      </w:tr>
      <w:tr w14:paraId="28C1C18A">
        <w:tblPrEx>
          <w:tblCellMar>
            <w:top w:w="0" w:type="dxa"/>
            <w:left w:w="108" w:type="dxa"/>
            <w:bottom w:w="0" w:type="dxa"/>
            <w:right w:w="108" w:type="dxa"/>
          </w:tblCellMar>
        </w:tblPrEx>
        <w:trPr>
          <w:trHeight w:val="436" w:hRule="atLeast"/>
          <w:jc w:val="center"/>
        </w:trPr>
        <w:tc>
          <w:tcPr>
            <w:tcW w:w="1182" w:type="dxa"/>
            <w:vMerge w:val="continue"/>
            <w:tcBorders>
              <w:left w:val="single" w:color="auto" w:sz="4" w:space="0"/>
              <w:right w:val="single" w:color="auto" w:sz="4" w:space="0"/>
            </w:tcBorders>
            <w:noWrap w:val="0"/>
            <w:vAlign w:val="center"/>
          </w:tcPr>
          <w:p w14:paraId="5F56BAAB">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EA96229">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会计信息质量</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61A7E3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GSTZ-2-2-02</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C13A171">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评价年度财务审计报告审计意见类型。</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2C5C8EFD">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审计意见为“标准的无保留意见”之外的，扣10分。</w:t>
            </w:r>
          </w:p>
        </w:tc>
      </w:tr>
      <w:tr w14:paraId="1B735F4E">
        <w:tblPrEx>
          <w:tblCellMar>
            <w:top w:w="0" w:type="dxa"/>
            <w:left w:w="108" w:type="dxa"/>
            <w:bottom w:w="0" w:type="dxa"/>
            <w:right w:w="108" w:type="dxa"/>
          </w:tblCellMar>
        </w:tblPrEx>
        <w:trPr>
          <w:trHeight w:val="436" w:hRule="atLeast"/>
          <w:jc w:val="center"/>
        </w:trPr>
        <w:tc>
          <w:tcPr>
            <w:tcW w:w="1182" w:type="dxa"/>
            <w:vMerge w:val="continue"/>
            <w:tcBorders>
              <w:left w:val="single" w:color="auto" w:sz="4" w:space="0"/>
              <w:right w:val="single" w:color="auto" w:sz="4" w:space="0"/>
            </w:tcBorders>
            <w:noWrap w:val="0"/>
            <w:vAlign w:val="center"/>
          </w:tcPr>
          <w:p w14:paraId="330DA27B">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2D0521B">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总资产</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61F76C0">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GSTZ-2-2-03</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41698C5B">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评价年度总资产出现大幅下滑。</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690117F">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下滑比例在10%</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-20%</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之间扣1分；下滑比例超过20%扣2分。</w:t>
            </w:r>
          </w:p>
        </w:tc>
      </w:tr>
      <w:tr w14:paraId="6CA96989">
        <w:tblPrEx>
          <w:tblCellMar>
            <w:top w:w="0" w:type="dxa"/>
            <w:left w:w="108" w:type="dxa"/>
            <w:bottom w:w="0" w:type="dxa"/>
            <w:right w:w="108" w:type="dxa"/>
          </w:tblCellMar>
        </w:tblPrEx>
        <w:trPr>
          <w:trHeight w:val="436" w:hRule="atLeast"/>
          <w:jc w:val="center"/>
        </w:trPr>
        <w:tc>
          <w:tcPr>
            <w:tcW w:w="1182" w:type="dxa"/>
            <w:vMerge w:val="continue"/>
            <w:tcBorders>
              <w:left w:val="single" w:color="auto" w:sz="4" w:space="0"/>
              <w:right w:val="single" w:color="auto" w:sz="4" w:space="0"/>
            </w:tcBorders>
            <w:noWrap w:val="0"/>
            <w:vAlign w:val="center"/>
          </w:tcPr>
          <w:p w14:paraId="749694CC">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D0A198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净资产</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9DB341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GSTZ-2-2-04</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2E0BEA5">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评价年度净资产出现大幅下滑。</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3F49AD3F">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下滑比例在10%</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-20%</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之间扣1分；下滑比例超过20%扣2分。</w:t>
            </w:r>
          </w:p>
        </w:tc>
      </w:tr>
      <w:tr w14:paraId="7C41866B">
        <w:tblPrEx>
          <w:tblCellMar>
            <w:top w:w="0" w:type="dxa"/>
            <w:left w:w="108" w:type="dxa"/>
            <w:bottom w:w="0" w:type="dxa"/>
            <w:right w:w="108" w:type="dxa"/>
          </w:tblCellMar>
        </w:tblPrEx>
        <w:trPr>
          <w:trHeight w:val="1160" w:hRule="atLeast"/>
          <w:jc w:val="center"/>
        </w:trPr>
        <w:tc>
          <w:tcPr>
            <w:tcW w:w="1182" w:type="dxa"/>
            <w:vMerge w:val="continue"/>
            <w:tcBorders>
              <w:left w:val="single" w:color="auto" w:sz="4" w:space="0"/>
              <w:right w:val="single" w:color="auto" w:sz="4" w:space="0"/>
            </w:tcBorders>
            <w:noWrap w:val="0"/>
            <w:vAlign w:val="center"/>
          </w:tcPr>
          <w:p w14:paraId="4F81DCA8">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04E20B0">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资产负债率</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91F047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GSTZ-2-2-05</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3320B054">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评价年度资产负债率过高。</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5952AB7F">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85%＜资产负债率≤90%，扣2分；</w:t>
            </w:r>
          </w:p>
          <w:p w14:paraId="6DBF2673">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90%＜资产负债率≤95%，扣4分；</w:t>
            </w:r>
          </w:p>
          <w:p w14:paraId="4EBF9880">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95%＜资产负债率≤100%，扣6分；</w:t>
            </w:r>
          </w:p>
          <w:p w14:paraId="6300CC27">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100%＜资产负债率，扣10分。</w:t>
            </w:r>
          </w:p>
        </w:tc>
      </w:tr>
      <w:tr w14:paraId="2BD349BD">
        <w:tblPrEx>
          <w:tblCellMar>
            <w:top w:w="0" w:type="dxa"/>
            <w:left w:w="108" w:type="dxa"/>
            <w:bottom w:w="0" w:type="dxa"/>
            <w:right w:w="108" w:type="dxa"/>
          </w:tblCellMar>
        </w:tblPrEx>
        <w:trPr>
          <w:trHeight w:val="486" w:hRule="atLeast"/>
          <w:jc w:val="center"/>
        </w:trPr>
        <w:tc>
          <w:tcPr>
            <w:tcW w:w="1182" w:type="dxa"/>
            <w:vMerge w:val="continue"/>
            <w:tcBorders>
              <w:left w:val="single" w:color="auto" w:sz="4" w:space="0"/>
              <w:right w:val="single" w:color="auto" w:sz="4" w:space="0"/>
            </w:tcBorders>
            <w:noWrap w:val="0"/>
            <w:vAlign w:val="center"/>
          </w:tcPr>
          <w:p w14:paraId="66E92078">
            <w:pPr>
              <w:jc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BB06E4D">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营业收入</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571F32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GSTZ-2-2-06</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75051196">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评价年度营业收入下滑，且下滑比例超过10%。</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1E8FEF1E">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下滑比例在10%</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-20%</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之间扣0.5分；下滑比例超过20%扣1分。</w:t>
            </w:r>
          </w:p>
        </w:tc>
      </w:tr>
      <w:tr w14:paraId="5A7240A9">
        <w:tblPrEx>
          <w:tblCellMar>
            <w:top w:w="0" w:type="dxa"/>
            <w:left w:w="108" w:type="dxa"/>
            <w:bottom w:w="0" w:type="dxa"/>
            <w:right w:w="108" w:type="dxa"/>
          </w:tblCellMar>
        </w:tblPrEx>
        <w:trPr>
          <w:trHeight w:val="476" w:hRule="atLeast"/>
          <w:jc w:val="center"/>
        </w:trPr>
        <w:tc>
          <w:tcPr>
            <w:tcW w:w="1182" w:type="dxa"/>
            <w:vMerge w:val="continue"/>
            <w:tcBorders>
              <w:left w:val="single" w:color="auto" w:sz="4" w:space="0"/>
              <w:right w:val="single" w:color="auto" w:sz="4" w:space="0"/>
            </w:tcBorders>
            <w:noWrap w:val="0"/>
            <w:vAlign w:val="center"/>
          </w:tcPr>
          <w:p w14:paraId="55D811AF">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6C8626">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净利润</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47D2E47">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GSTZ-2-2-07</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28961888">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评价年度净利润出现亏损。</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4B5D5FAD">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净利润为负的，扣3分。</w:t>
            </w:r>
          </w:p>
        </w:tc>
      </w:tr>
      <w:tr w14:paraId="39DE4098">
        <w:tblPrEx>
          <w:tblCellMar>
            <w:top w:w="0" w:type="dxa"/>
            <w:left w:w="108" w:type="dxa"/>
            <w:bottom w:w="0" w:type="dxa"/>
            <w:right w:w="108" w:type="dxa"/>
          </w:tblCellMar>
        </w:tblPrEx>
        <w:trPr>
          <w:trHeight w:val="600" w:hRule="atLeast"/>
          <w:jc w:val="center"/>
        </w:trPr>
        <w:tc>
          <w:tcPr>
            <w:tcW w:w="1182" w:type="dxa"/>
            <w:vMerge w:val="continue"/>
            <w:tcBorders>
              <w:left w:val="single" w:color="auto" w:sz="4" w:space="0"/>
              <w:right w:val="single" w:color="auto" w:sz="4" w:space="0"/>
            </w:tcBorders>
            <w:noWrap w:val="0"/>
            <w:vAlign w:val="center"/>
          </w:tcPr>
          <w:p w14:paraId="704F095B">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4F2130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经营性净现金流</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2BF323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GSTZ-2-2-08</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5A106354">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评价年度经营性净现金流为负。</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39057589">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扣1分。</w:t>
            </w:r>
          </w:p>
        </w:tc>
      </w:tr>
      <w:tr w14:paraId="39161DF8">
        <w:tblPrEx>
          <w:tblCellMar>
            <w:top w:w="0" w:type="dxa"/>
            <w:left w:w="108" w:type="dxa"/>
            <w:bottom w:w="0" w:type="dxa"/>
            <w:right w:w="108" w:type="dxa"/>
          </w:tblCellMar>
        </w:tblPrEx>
        <w:trPr>
          <w:trHeight w:val="600" w:hRule="atLeast"/>
          <w:jc w:val="center"/>
        </w:trPr>
        <w:tc>
          <w:tcPr>
            <w:tcW w:w="1182" w:type="dxa"/>
            <w:vMerge w:val="continue"/>
            <w:tcBorders>
              <w:left w:val="single" w:color="auto" w:sz="4" w:space="0"/>
              <w:right w:val="single" w:color="auto" w:sz="4" w:space="0"/>
            </w:tcBorders>
            <w:noWrap w:val="0"/>
            <w:vAlign w:val="center"/>
          </w:tcPr>
          <w:p w14:paraId="186DDEA9">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5676B31">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现金流动负债比率</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35C5A28">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GSTZ-2-2-09</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250680D">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评价年度现金流动负债比率表现较差。</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EA924E7">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指标值低于行业较差值的扣1分。</w:t>
            </w:r>
          </w:p>
          <w:p w14:paraId="067DB876">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行业较差值来源《企业绩效评价标准值》（建筑业）</w:t>
            </w:r>
          </w:p>
        </w:tc>
      </w:tr>
      <w:tr w14:paraId="406E5A1C">
        <w:tblPrEx>
          <w:tblCellMar>
            <w:top w:w="0" w:type="dxa"/>
            <w:left w:w="108" w:type="dxa"/>
            <w:bottom w:w="0" w:type="dxa"/>
            <w:right w:w="108" w:type="dxa"/>
          </w:tblCellMar>
        </w:tblPrEx>
        <w:trPr>
          <w:trHeight w:val="600" w:hRule="atLeast"/>
          <w:jc w:val="center"/>
        </w:trPr>
        <w:tc>
          <w:tcPr>
            <w:tcW w:w="1182" w:type="dxa"/>
            <w:vMerge w:val="continue"/>
            <w:tcBorders>
              <w:left w:val="single" w:color="auto" w:sz="4" w:space="0"/>
              <w:right w:val="single" w:color="auto" w:sz="4" w:space="0"/>
            </w:tcBorders>
            <w:noWrap w:val="0"/>
            <w:vAlign w:val="center"/>
          </w:tcPr>
          <w:p w14:paraId="553A36EF">
            <w:pPr>
              <w:jc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F3D15AA">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净资产收益率</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37500E2">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GSTZ-2-2-10</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7C7CE7E4">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评价年度净资产收益率表现较差。</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B9BEC35">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指标值低于行业较差值的扣1分。</w:t>
            </w:r>
          </w:p>
          <w:p w14:paraId="3FB6A908">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行业较差值来源《企业绩效评价标准值》（建筑业）</w:t>
            </w:r>
          </w:p>
        </w:tc>
      </w:tr>
      <w:tr w14:paraId="137B3F08">
        <w:tblPrEx>
          <w:tblCellMar>
            <w:top w:w="0" w:type="dxa"/>
            <w:left w:w="108" w:type="dxa"/>
            <w:bottom w:w="0" w:type="dxa"/>
            <w:right w:w="108" w:type="dxa"/>
          </w:tblCellMar>
        </w:tblPrEx>
        <w:trPr>
          <w:trHeight w:val="600" w:hRule="atLeast"/>
          <w:jc w:val="center"/>
        </w:trPr>
        <w:tc>
          <w:tcPr>
            <w:tcW w:w="1182" w:type="dxa"/>
            <w:vMerge w:val="continue"/>
            <w:tcBorders>
              <w:left w:val="single" w:color="auto" w:sz="4" w:space="0"/>
              <w:right w:val="single" w:color="auto" w:sz="4" w:space="0"/>
            </w:tcBorders>
            <w:noWrap w:val="0"/>
            <w:vAlign w:val="center"/>
          </w:tcPr>
          <w:p w14:paraId="7E561DB1">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8AA8285">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总资产报酬率</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6605CF3">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GSTZ-2-2-11</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647751E">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评价年度总资产报酬率表现较差。</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565BA7BE">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指标值低于行业较差值的扣1分。</w:t>
            </w:r>
          </w:p>
          <w:p w14:paraId="0EF190C8">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行业较差值来源《企业绩效评价标准值》（建筑业）</w:t>
            </w:r>
          </w:p>
        </w:tc>
      </w:tr>
      <w:tr w14:paraId="0F49601F">
        <w:tblPrEx>
          <w:tblCellMar>
            <w:top w:w="0" w:type="dxa"/>
            <w:left w:w="108" w:type="dxa"/>
            <w:bottom w:w="0" w:type="dxa"/>
            <w:right w:w="108" w:type="dxa"/>
          </w:tblCellMar>
        </w:tblPrEx>
        <w:trPr>
          <w:trHeight w:val="600" w:hRule="atLeast"/>
          <w:jc w:val="center"/>
        </w:trPr>
        <w:tc>
          <w:tcPr>
            <w:tcW w:w="1182" w:type="dxa"/>
            <w:vMerge w:val="continue"/>
            <w:tcBorders>
              <w:left w:val="single" w:color="auto" w:sz="4" w:space="0"/>
              <w:bottom w:val="single" w:color="auto" w:sz="4" w:space="0"/>
              <w:right w:val="single" w:color="auto" w:sz="4" w:space="0"/>
            </w:tcBorders>
            <w:noWrap w:val="0"/>
            <w:vAlign w:val="center"/>
          </w:tcPr>
          <w:p w14:paraId="7F396109">
            <w:pPr>
              <w:widowControl/>
              <w:jc w:val="center"/>
              <w:textAlignment w:val="center"/>
              <w:rPr>
                <w:rFonts w:ascii="Times New Roman" w:hAnsi="Times New Roman" w:eastAsia="宋体" w:cs="Times New Roman"/>
                <w:kern w:val="0"/>
                <w:sz w:val="18"/>
                <w:szCs w:val="18"/>
                <w:lang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C73657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速动比率</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1AB6C57">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GSTZ-2-2-12</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2A2AB1E3">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评价年度速动比率表现较差。</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0C4ECFE3">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指标值低于行业较差值的扣1分。</w:t>
            </w:r>
          </w:p>
          <w:p w14:paraId="06A87C75">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行业较差值来源《企业绩效评价标准值》（建筑业）</w:t>
            </w:r>
          </w:p>
        </w:tc>
      </w:tr>
      <w:tr w14:paraId="310ACE65">
        <w:tblPrEx>
          <w:tblCellMar>
            <w:top w:w="0" w:type="dxa"/>
            <w:left w:w="108" w:type="dxa"/>
            <w:bottom w:w="0" w:type="dxa"/>
            <w:right w:w="108" w:type="dxa"/>
          </w:tblCellMar>
        </w:tblPrEx>
        <w:trPr>
          <w:trHeight w:val="899" w:hRule="atLeast"/>
          <w:jc w:val="center"/>
        </w:trPr>
        <w:tc>
          <w:tcPr>
            <w:tcW w:w="1182" w:type="dxa"/>
            <w:vMerge w:val="restart"/>
            <w:tcBorders>
              <w:top w:val="single" w:color="auto" w:sz="4" w:space="0"/>
              <w:left w:val="single" w:color="auto" w:sz="4" w:space="0"/>
              <w:bottom w:val="single" w:color="auto" w:sz="4" w:space="0"/>
              <w:right w:val="single" w:color="auto" w:sz="4" w:space="0"/>
            </w:tcBorders>
            <w:noWrap w:val="0"/>
            <w:vAlign w:val="center"/>
          </w:tcPr>
          <w:p w14:paraId="68C62A16">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公共信用</w:t>
            </w:r>
          </w:p>
          <w:p w14:paraId="0462B3F5">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记录</w:t>
            </w:r>
          </w:p>
          <w:p w14:paraId="2178283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（满分10分，扣完为止）</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1047C12">
            <w:pPr>
              <w:widowControl/>
              <w:spacing w:line="260" w:lineRule="exact"/>
              <w:jc w:val="center"/>
              <w:rPr>
                <w:rFonts w:ascii="Times New Roman" w:hAnsi="Times New Roman" w:eastAsia="宋体" w:cs="Times New Roman"/>
                <w:sz w:val="18"/>
                <w:szCs w:val="18"/>
              </w:rPr>
            </w:pPr>
            <w:r>
              <w:rPr>
                <w:rFonts w:hint="default" w:ascii="Times New Roman" w:hAnsi="Times New Roman" w:eastAsia="宋体" w:cs="Times New Roman"/>
                <w:kern w:val="0"/>
                <w:sz w:val="18"/>
                <w:szCs w:val="18"/>
                <w:lang w:bidi="ar"/>
              </w:rPr>
              <w:t>税务</w:t>
            </w:r>
            <w:r>
              <w:rPr>
                <w:rFonts w:ascii="Times New Roman" w:hAnsi="Times New Roman" w:eastAsia="宋体" w:cs="Times New Roman"/>
                <w:kern w:val="0"/>
                <w:sz w:val="18"/>
                <w:szCs w:val="18"/>
                <w:lang w:bidi="ar"/>
              </w:rPr>
              <w:t>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CCB4D5D">
            <w:pPr>
              <w:pStyle w:val="2"/>
              <w:spacing w:after="0" w:line="260" w:lineRule="exac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GSTZ-2-2-13</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2537EC66">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查询到投资人评价年度在税务领域存在行政处罚记录。</w:t>
            </w:r>
          </w:p>
          <w:p w14:paraId="619D58C3">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（信息来源：信用中国、税务主管部门门户网站）</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72ECBB7D">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罚款金额未超过0.2万元的，扣0.5分/条；罚款金额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0.2万元但未超过1万元的，扣1分/条；罚款金额超过1万元的，扣2分/条。</w:t>
            </w:r>
          </w:p>
        </w:tc>
      </w:tr>
      <w:tr w14:paraId="50331250">
        <w:tblPrEx>
          <w:tblCellMar>
            <w:top w:w="0" w:type="dxa"/>
            <w:left w:w="108" w:type="dxa"/>
            <w:bottom w:w="0" w:type="dxa"/>
            <w:right w:w="108" w:type="dxa"/>
          </w:tblCellMar>
        </w:tblPrEx>
        <w:trPr>
          <w:trHeight w:val="600"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4DA97B58">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B15CD35">
            <w:pPr>
              <w:widowControl/>
              <w:spacing w:line="26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建设领域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B5F3994">
            <w:pPr>
              <w:widowControl/>
              <w:spacing w:line="26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GSTZ-2-2-14</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719EA9C7">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查询到投资人评价年度在建设领域存在行政处罚记录。</w:t>
            </w:r>
          </w:p>
          <w:p w14:paraId="2E4ACDEB">
            <w:pPr>
              <w:pStyle w:val="2"/>
              <w:spacing w:after="0" w:line="260" w:lineRule="exac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（信息来源：信用交通、全国公路建设市场监督管理系统、全国建筑市场监管公共服务平台、全国水利建设市场信用信息平台、各地建设主管部门门户网站）</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513CE253">
            <w:pPr>
              <w:widowControl/>
              <w:spacing w:line="260" w:lineRule="exac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罚款金额未超过2万元的，扣0.5分/条；罚款金额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2万元但未超过5万元的，扣1分/条；罚款金额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5万元的扣2分/条。</w:t>
            </w:r>
          </w:p>
        </w:tc>
      </w:tr>
      <w:tr w14:paraId="3DA6BC82">
        <w:tblPrEx>
          <w:tblCellMar>
            <w:top w:w="0" w:type="dxa"/>
            <w:left w:w="108" w:type="dxa"/>
            <w:bottom w:w="0" w:type="dxa"/>
            <w:right w:w="108" w:type="dxa"/>
          </w:tblCellMar>
        </w:tblPrEx>
        <w:trPr>
          <w:trHeight w:val="836"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5B0FEBCA">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8C5319A">
            <w:pPr>
              <w:widowControl/>
              <w:spacing w:line="26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环保领域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0BAC5F8">
            <w:pPr>
              <w:widowControl/>
              <w:spacing w:line="26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GSTZ-2-2-15</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3FA7E79F">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查询到投资人评价年度在环保领域存在行政处罚记录。</w:t>
            </w:r>
          </w:p>
          <w:p w14:paraId="34DADCA2">
            <w:pPr>
              <w:widowControl/>
              <w:spacing w:line="260" w:lineRule="exac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（信息来源：信用中国、国家企业信用信息公示系统、各地生态环境部门门户网站）</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4CEF3588">
            <w:pPr>
              <w:pStyle w:val="2"/>
              <w:spacing w:after="0" w:line="260" w:lineRule="exac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罚款金额未超过2万元的，扣0.5分/条；罚款金额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2万元但未超过5万元的，扣1分/条；罚款金额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5万元的扣2分/条。</w:t>
            </w:r>
          </w:p>
        </w:tc>
      </w:tr>
      <w:tr w14:paraId="2704972D">
        <w:tblPrEx>
          <w:tblCellMar>
            <w:top w:w="0" w:type="dxa"/>
            <w:left w:w="108" w:type="dxa"/>
            <w:bottom w:w="0" w:type="dxa"/>
            <w:right w:w="108" w:type="dxa"/>
          </w:tblCellMar>
        </w:tblPrEx>
        <w:trPr>
          <w:trHeight w:val="836"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25A99AA1">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57201B6">
            <w:pPr>
              <w:widowControl/>
              <w:spacing w:line="260" w:lineRule="exact"/>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金融领域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D3606F2">
            <w:pPr>
              <w:widowControl/>
              <w:spacing w:line="260" w:lineRule="exact"/>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GSTZ-2-2-16</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9DDB5F8">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查询到投资人评价年度在金融领域存在行政处罚记录。</w:t>
            </w:r>
          </w:p>
          <w:p w14:paraId="06C757BE">
            <w:pPr>
              <w:widowControl/>
              <w:spacing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（信息来源：国家金融监督管理总局、国家发展改革委、中国人民银行、中国银行间市场交易商协会、中国证券监督管理委员会等门户网站）</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B2D72FC">
            <w:pPr>
              <w:pStyle w:val="2"/>
              <w:spacing w:after="0" w:line="260" w:lineRule="exac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罚款金额未超过30万元的，扣0.5分/条；罚款金额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30万元但未超过100万元的，扣1分/条；罚款金额超过100万元的，扣2分/条。</w:t>
            </w:r>
          </w:p>
        </w:tc>
      </w:tr>
      <w:tr w14:paraId="0179CB07">
        <w:tblPrEx>
          <w:tblCellMar>
            <w:top w:w="0" w:type="dxa"/>
            <w:left w:w="108" w:type="dxa"/>
            <w:bottom w:w="0" w:type="dxa"/>
            <w:right w:w="108" w:type="dxa"/>
          </w:tblCellMar>
        </w:tblPrEx>
        <w:trPr>
          <w:trHeight w:val="836"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71E573CA">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E03727B">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司法领域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8D361C8">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GSTZ-2-2-17</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7DC375CC">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查询到投资人评价年度在司法领域存在被人民法院强制执行记录。</w:t>
            </w:r>
          </w:p>
          <w:p w14:paraId="4C8B6B75">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（信息来源：中国裁判文书网、中国执行信息公开网等）</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AF9282E">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执行标的未超过100万元的扣0.5分/次，罚款金额超过100万元的扣1分/次。</w:t>
            </w:r>
          </w:p>
          <w:p w14:paraId="4F5390AC">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投资人在执行期间主动履行义务的，不作扣分。</w:t>
            </w:r>
          </w:p>
        </w:tc>
      </w:tr>
      <w:tr w14:paraId="1673EC23">
        <w:tblPrEx>
          <w:tblCellMar>
            <w:top w:w="0" w:type="dxa"/>
            <w:left w:w="108" w:type="dxa"/>
            <w:bottom w:w="0" w:type="dxa"/>
            <w:right w:w="108" w:type="dxa"/>
          </w:tblCellMar>
        </w:tblPrEx>
        <w:trPr>
          <w:trHeight w:val="1125"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14:paraId="0DB15150">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2714761">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其他领域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4832E7E">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GSTZ-2-2-18</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1FDB69CE">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查询到投资人评价年度在交通、财政、人社、自然资源、住建、水利、商务等其他领域存在行政处罚记录。</w:t>
            </w:r>
          </w:p>
          <w:p w14:paraId="6C517AE9">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（信息来源：各领域政府职能部门门户网站）</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548AC3A6">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罚款金额</w:t>
            </w:r>
            <w:r>
              <w:rPr>
                <w:rFonts w:hint="default" w:ascii="Times New Roman" w:hAnsi="Times New Roman" w:eastAsia="宋体" w:cs="Times New Roman"/>
                <w:kern w:val="0"/>
                <w:sz w:val="18"/>
                <w:szCs w:val="18"/>
                <w:lang w:bidi="ar"/>
              </w:rPr>
              <w:t>未超过</w:t>
            </w:r>
            <w:r>
              <w:rPr>
                <w:rFonts w:ascii="Times New Roman" w:hAnsi="Times New Roman" w:eastAsia="宋体" w:cs="Times New Roman"/>
                <w:kern w:val="0"/>
                <w:sz w:val="18"/>
                <w:szCs w:val="18"/>
                <w:lang w:bidi="ar"/>
              </w:rPr>
              <w:t>2万元的，扣0.5分/条；罚款金额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2万元且不高于5万元的，扣1分/条；罚款金额</w:t>
            </w:r>
            <w:r>
              <w:rPr>
                <w:rFonts w:hint="default" w:ascii="Times New Roman" w:hAnsi="Times New Roman" w:eastAsia="宋体" w:cs="Times New Roman"/>
                <w:kern w:val="0"/>
                <w:sz w:val="18"/>
                <w:szCs w:val="18"/>
                <w:lang w:bidi="ar"/>
              </w:rPr>
              <w:t>超过</w:t>
            </w:r>
            <w:r>
              <w:rPr>
                <w:rFonts w:ascii="Times New Roman" w:hAnsi="Times New Roman" w:eastAsia="宋体" w:cs="Times New Roman"/>
                <w:kern w:val="0"/>
                <w:sz w:val="18"/>
                <w:szCs w:val="18"/>
                <w:lang w:bidi="ar"/>
              </w:rPr>
              <w:t>5万元的扣2分/条。</w:t>
            </w:r>
          </w:p>
        </w:tc>
      </w:tr>
      <w:tr w14:paraId="10348679">
        <w:tblPrEx>
          <w:tblCellMar>
            <w:top w:w="0" w:type="dxa"/>
            <w:left w:w="108" w:type="dxa"/>
            <w:bottom w:w="0" w:type="dxa"/>
            <w:right w:w="108" w:type="dxa"/>
          </w:tblCellMar>
        </w:tblPrEx>
        <w:trPr>
          <w:trHeight w:val="661" w:hRule="atLeast"/>
          <w:jc w:val="center"/>
        </w:trPr>
        <w:tc>
          <w:tcPr>
            <w:tcW w:w="1182" w:type="dxa"/>
            <w:vMerge w:val="continue"/>
            <w:tcBorders>
              <w:top w:val="single" w:color="auto" w:sz="4" w:space="0"/>
              <w:left w:val="single" w:color="auto" w:sz="4" w:space="0"/>
              <w:right w:val="single" w:color="auto" w:sz="4" w:space="0"/>
            </w:tcBorders>
            <w:noWrap w:val="0"/>
            <w:vAlign w:val="center"/>
          </w:tcPr>
          <w:p w14:paraId="5ACD2F98">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3C4EABD">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重大舆情</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0FB58D2">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GSTZ-2-2-19</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D825B45">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引发重大舆情和社会影响的。</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67182E00">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在省级及以上新闻媒体报道，情节轻微的扣1分/条；情节严重的扣2分/条。</w:t>
            </w:r>
          </w:p>
        </w:tc>
      </w:tr>
      <w:tr w14:paraId="5191914A">
        <w:tblPrEx>
          <w:tblCellMar>
            <w:top w:w="0" w:type="dxa"/>
            <w:left w:w="108" w:type="dxa"/>
            <w:bottom w:w="0" w:type="dxa"/>
            <w:right w:w="108" w:type="dxa"/>
          </w:tblCellMar>
        </w:tblPrEx>
        <w:trPr>
          <w:trHeight w:val="509" w:hRule="atLeast"/>
          <w:jc w:val="center"/>
        </w:trPr>
        <w:tc>
          <w:tcPr>
            <w:tcW w:w="1182" w:type="dxa"/>
            <w:vMerge w:val="continue"/>
            <w:tcBorders>
              <w:left w:val="single" w:color="auto" w:sz="4" w:space="0"/>
              <w:bottom w:val="single" w:color="auto" w:sz="4" w:space="0"/>
              <w:right w:val="single" w:color="auto" w:sz="4" w:space="0"/>
            </w:tcBorders>
            <w:noWrap w:val="0"/>
            <w:vAlign w:val="center"/>
          </w:tcPr>
          <w:p w14:paraId="64BE6DAC">
            <w:pPr>
              <w:jc w:val="center"/>
              <w:rPr>
                <w:rFonts w:ascii="Times New Roman" w:hAnsi="Times New Roman" w:eastAsia="宋体" w:cs="Times New Roman"/>
                <w:sz w:val="18"/>
                <w:szCs w:val="1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291372C">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联合惩戒</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90EF125">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GSTZ-2-2-20</w:t>
            </w:r>
          </w:p>
        </w:tc>
        <w:tc>
          <w:tcPr>
            <w:tcW w:w="4015" w:type="dxa"/>
            <w:tcBorders>
              <w:top w:val="single" w:color="auto" w:sz="4" w:space="0"/>
              <w:left w:val="single" w:color="auto" w:sz="4" w:space="0"/>
              <w:bottom w:val="single" w:color="auto" w:sz="4" w:space="0"/>
              <w:right w:val="single" w:color="auto" w:sz="4" w:space="0"/>
            </w:tcBorders>
            <w:noWrap w:val="0"/>
            <w:vAlign w:val="center"/>
          </w:tcPr>
          <w:p w14:paraId="0DF01FB3">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在其他行业领域有符合失信联合惩戒条件的。</w:t>
            </w:r>
          </w:p>
        </w:tc>
        <w:tc>
          <w:tcPr>
            <w:tcW w:w="5113" w:type="dxa"/>
            <w:tcBorders>
              <w:top w:val="single" w:color="auto" w:sz="4" w:space="0"/>
              <w:left w:val="single" w:color="auto" w:sz="4" w:space="0"/>
              <w:bottom w:val="single" w:color="auto" w:sz="4" w:space="0"/>
              <w:right w:val="single" w:color="auto" w:sz="4" w:space="0"/>
            </w:tcBorders>
            <w:noWrap w:val="0"/>
            <w:vAlign w:val="center"/>
          </w:tcPr>
          <w:p w14:paraId="05041EA4">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交通运输厅收到其他部门发文（函）要求共同实施联合惩戒的，视问题大小，扣1-3分。同一问题不重复扣分。</w:t>
            </w:r>
          </w:p>
        </w:tc>
      </w:tr>
      <w:tr w14:paraId="4FEEA0B6">
        <w:tblPrEx>
          <w:tblCellMar>
            <w:top w:w="0" w:type="dxa"/>
            <w:left w:w="108" w:type="dxa"/>
            <w:bottom w:w="0" w:type="dxa"/>
            <w:right w:w="108" w:type="dxa"/>
          </w:tblCellMar>
        </w:tblPrEx>
        <w:trPr>
          <w:trHeight w:val="422" w:hRule="atLeast"/>
          <w:jc w:val="center"/>
        </w:trPr>
        <w:tc>
          <w:tcPr>
            <w:tcW w:w="1182" w:type="dxa"/>
            <w:vMerge w:val="restart"/>
            <w:tcBorders>
              <w:top w:val="single" w:color="auto" w:sz="4" w:space="0"/>
              <w:left w:val="single" w:color="000000" w:sz="4" w:space="0"/>
              <w:right w:val="single" w:color="000000" w:sz="4" w:space="0"/>
            </w:tcBorders>
            <w:noWrap w:val="0"/>
            <w:vAlign w:val="center"/>
          </w:tcPr>
          <w:p w14:paraId="71642590">
            <w:pPr>
              <w:jc w:val="center"/>
              <w:rPr>
                <w:rFonts w:ascii="Times New Roman" w:hAnsi="Times New Roman" w:eastAsia="宋体" w:cs="Times New Roman"/>
                <w:sz w:val="18"/>
                <w:szCs w:val="18"/>
              </w:rPr>
            </w:pPr>
            <w:r>
              <w:rPr>
                <w:rFonts w:ascii="Times New Roman" w:hAnsi="Times New Roman" w:eastAsia="宋体" w:cs="Times New Roman"/>
                <w:sz w:val="18"/>
                <w:szCs w:val="18"/>
              </w:rPr>
              <w:t>加分项</w:t>
            </w:r>
          </w:p>
          <w:p w14:paraId="5F408909">
            <w:pPr>
              <w:pStyle w:val="2"/>
              <w:rPr>
                <w:rFonts w:ascii="Times New Roman" w:hAnsi="Times New Roman" w:eastAsia="宋体" w:cs="Times New Roman"/>
              </w:rPr>
            </w:pPr>
            <w:r>
              <w:rPr>
                <w:rFonts w:ascii="Times New Roman" w:hAnsi="Times New Roman" w:eastAsia="宋体" w:cs="Times New Roman"/>
                <w:sz w:val="18"/>
                <w:szCs w:val="18"/>
              </w:rPr>
              <w:t>（累计最高加10分）</w:t>
            </w:r>
          </w:p>
        </w:tc>
        <w:tc>
          <w:tcPr>
            <w:tcW w:w="1466" w:type="dxa"/>
            <w:tcBorders>
              <w:top w:val="single" w:color="auto" w:sz="4" w:space="0"/>
              <w:left w:val="single" w:color="000000" w:sz="4" w:space="0"/>
              <w:bottom w:val="single" w:color="000000" w:sz="4" w:space="0"/>
              <w:right w:val="single" w:color="000000" w:sz="4" w:space="0"/>
            </w:tcBorders>
            <w:noWrap w:val="0"/>
            <w:vAlign w:val="center"/>
          </w:tcPr>
          <w:p w14:paraId="0B882F36">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年度投资</w:t>
            </w:r>
          </w:p>
        </w:tc>
        <w:tc>
          <w:tcPr>
            <w:tcW w:w="1441" w:type="dxa"/>
            <w:tcBorders>
              <w:top w:val="single" w:color="auto" w:sz="4" w:space="0"/>
              <w:left w:val="single" w:color="000000" w:sz="4" w:space="0"/>
              <w:bottom w:val="single" w:color="000000" w:sz="4" w:space="0"/>
              <w:right w:val="single" w:color="000000" w:sz="4" w:space="0"/>
            </w:tcBorders>
            <w:noWrap w:val="0"/>
            <w:vAlign w:val="center"/>
          </w:tcPr>
          <w:p w14:paraId="71080847">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GSTZ-2-2-21</w:t>
            </w:r>
          </w:p>
        </w:tc>
        <w:tc>
          <w:tcPr>
            <w:tcW w:w="4015" w:type="dxa"/>
            <w:tcBorders>
              <w:top w:val="single" w:color="auto" w:sz="4" w:space="0"/>
              <w:left w:val="single" w:color="000000" w:sz="4" w:space="0"/>
              <w:bottom w:val="single" w:color="000000" w:sz="4" w:space="0"/>
              <w:right w:val="single" w:color="000000" w:sz="4" w:space="0"/>
            </w:tcBorders>
            <w:noWrap w:val="0"/>
            <w:vAlign w:val="center"/>
          </w:tcPr>
          <w:p w14:paraId="7F54A6B2">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四川省高速公路项目超额完成年度投资计划。</w:t>
            </w:r>
          </w:p>
        </w:tc>
        <w:tc>
          <w:tcPr>
            <w:tcW w:w="5113" w:type="dxa"/>
            <w:tcBorders>
              <w:top w:val="single" w:color="auto" w:sz="4" w:space="0"/>
              <w:left w:val="single" w:color="000000" w:sz="4" w:space="0"/>
              <w:bottom w:val="single" w:color="000000" w:sz="4" w:space="0"/>
              <w:right w:val="single" w:color="000000" w:sz="4" w:space="0"/>
            </w:tcBorders>
            <w:noWrap w:val="0"/>
            <w:vAlign w:val="center"/>
          </w:tcPr>
          <w:p w14:paraId="40B47E60">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各项目年度完成投资额占年度计划比例：在105%（含）-115%（含）的，加</w:t>
            </w:r>
            <w:r>
              <w:rPr>
                <w:rFonts w:hint="default"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分；在115%（不含）-125%（含）的，加</w:t>
            </w:r>
            <w:r>
              <w:rPr>
                <w:rFonts w:hint="default" w:ascii="Times New Roman" w:hAnsi="Times New Roman" w:eastAsia="宋体" w:cs="Times New Roman"/>
                <w:kern w:val="0"/>
                <w:sz w:val="18"/>
                <w:szCs w:val="18"/>
                <w:lang w:bidi="ar"/>
              </w:rPr>
              <w:t>3</w:t>
            </w:r>
            <w:r>
              <w:rPr>
                <w:rFonts w:ascii="Times New Roman" w:hAnsi="Times New Roman" w:eastAsia="宋体" w:cs="Times New Roman"/>
                <w:kern w:val="0"/>
                <w:sz w:val="18"/>
                <w:szCs w:val="18"/>
                <w:lang w:bidi="ar"/>
              </w:rPr>
              <w:t>分；在125%（不含）-135%（含）的，加</w:t>
            </w:r>
            <w:r>
              <w:rPr>
                <w:rFonts w:hint="default"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分；在135%以上的，加</w:t>
            </w:r>
            <w:r>
              <w:rPr>
                <w:rFonts w:hint="default"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分。</w:t>
            </w:r>
          </w:p>
          <w:p w14:paraId="7500B527">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联合体各成员按项目股权比例折算加分，同一投资人涉及多个项目超额完成年度投资额的，可按各项目得分累计，累计加分不超过</w:t>
            </w:r>
            <w:r>
              <w:rPr>
                <w:rFonts w:hint="default" w:ascii="Times New Roman" w:hAnsi="Times New Roman" w:eastAsia="宋体" w:cs="Times New Roman"/>
                <w:kern w:val="0"/>
                <w:sz w:val="18"/>
                <w:szCs w:val="18"/>
                <w:lang w:bidi="ar"/>
              </w:rPr>
              <w:t>6</w:t>
            </w:r>
            <w:r>
              <w:rPr>
                <w:rFonts w:ascii="Times New Roman" w:hAnsi="Times New Roman" w:eastAsia="宋体" w:cs="Times New Roman"/>
                <w:kern w:val="0"/>
                <w:sz w:val="18"/>
                <w:szCs w:val="18"/>
                <w:lang w:bidi="ar"/>
              </w:rPr>
              <w:t>分。</w:t>
            </w:r>
          </w:p>
        </w:tc>
      </w:tr>
      <w:tr w14:paraId="30142667">
        <w:tblPrEx>
          <w:tblCellMar>
            <w:top w:w="0" w:type="dxa"/>
            <w:left w:w="108" w:type="dxa"/>
            <w:bottom w:w="0" w:type="dxa"/>
            <w:right w:w="108" w:type="dxa"/>
          </w:tblCellMar>
        </w:tblPrEx>
        <w:trPr>
          <w:trHeight w:val="422" w:hRule="atLeast"/>
          <w:jc w:val="center"/>
        </w:trPr>
        <w:tc>
          <w:tcPr>
            <w:tcW w:w="1182" w:type="dxa"/>
            <w:vMerge w:val="continue"/>
            <w:tcBorders>
              <w:top w:val="single" w:color="auto" w:sz="4" w:space="0"/>
              <w:left w:val="single" w:color="000000" w:sz="4" w:space="0"/>
              <w:right w:val="single" w:color="000000" w:sz="4" w:space="0"/>
            </w:tcBorders>
            <w:noWrap w:val="0"/>
            <w:vAlign w:val="center"/>
          </w:tcPr>
          <w:p w14:paraId="3A48DB6B">
            <w:pPr>
              <w:jc w:val="center"/>
              <w:rPr>
                <w:rFonts w:ascii="Times New Roman" w:hAnsi="Times New Roman" w:eastAsia="宋体" w:cs="Times New Roman"/>
                <w:sz w:val="18"/>
                <w:szCs w:val="18"/>
              </w:rPr>
            </w:pPr>
          </w:p>
        </w:tc>
        <w:tc>
          <w:tcPr>
            <w:tcW w:w="1466" w:type="dxa"/>
            <w:tcBorders>
              <w:top w:val="single" w:color="auto" w:sz="4" w:space="0"/>
              <w:left w:val="single" w:color="000000" w:sz="4" w:space="0"/>
              <w:bottom w:val="single" w:color="000000" w:sz="4" w:space="0"/>
              <w:right w:val="single" w:color="000000" w:sz="4" w:space="0"/>
            </w:tcBorders>
            <w:noWrap w:val="0"/>
            <w:vAlign w:val="center"/>
          </w:tcPr>
          <w:p w14:paraId="794B0C4F">
            <w:pPr>
              <w:widowControl/>
              <w:spacing w:line="26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财务优良</w:t>
            </w:r>
          </w:p>
        </w:tc>
        <w:tc>
          <w:tcPr>
            <w:tcW w:w="1441" w:type="dxa"/>
            <w:tcBorders>
              <w:top w:val="single" w:color="auto" w:sz="4" w:space="0"/>
              <w:left w:val="single" w:color="000000" w:sz="4" w:space="0"/>
              <w:bottom w:val="single" w:color="000000" w:sz="4" w:space="0"/>
              <w:right w:val="single" w:color="000000" w:sz="4" w:space="0"/>
            </w:tcBorders>
            <w:noWrap w:val="0"/>
            <w:vAlign w:val="center"/>
          </w:tcPr>
          <w:p w14:paraId="546777D7">
            <w:pPr>
              <w:widowControl/>
              <w:spacing w:line="260" w:lineRule="exact"/>
              <w:jc w:val="center"/>
              <w:textAlignment w:val="center"/>
              <w:rPr>
                <w:rFonts w:hint="default"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GSTZ-2-2-2</w:t>
            </w:r>
            <w:r>
              <w:rPr>
                <w:rFonts w:hint="default" w:ascii="Times New Roman" w:hAnsi="Times New Roman" w:eastAsia="宋体" w:cs="Times New Roman"/>
                <w:kern w:val="0"/>
                <w:sz w:val="18"/>
                <w:szCs w:val="18"/>
                <w:lang w:bidi="ar"/>
              </w:rPr>
              <w:t>2</w:t>
            </w:r>
          </w:p>
        </w:tc>
        <w:tc>
          <w:tcPr>
            <w:tcW w:w="4015" w:type="dxa"/>
            <w:tcBorders>
              <w:top w:val="single" w:color="auto" w:sz="4" w:space="0"/>
              <w:left w:val="single" w:color="000000" w:sz="4" w:space="0"/>
              <w:bottom w:val="single" w:color="000000" w:sz="4" w:space="0"/>
              <w:right w:val="single" w:color="000000" w:sz="4" w:space="0"/>
            </w:tcBorders>
            <w:noWrap w:val="0"/>
            <w:vAlign w:val="center"/>
          </w:tcPr>
          <w:p w14:paraId="1B071108">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投资人总资产、营业收入、净利润均呈现连续三年持续上升趋势，且评价年度三项指标上涨幅度均超过</w:t>
            </w:r>
            <w:r>
              <w:rPr>
                <w:rFonts w:hint="default"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%，评价年度经营性现金流为正。</w:t>
            </w:r>
          </w:p>
        </w:tc>
        <w:tc>
          <w:tcPr>
            <w:tcW w:w="5113" w:type="dxa"/>
            <w:tcBorders>
              <w:top w:val="single" w:color="auto" w:sz="4" w:space="0"/>
              <w:left w:val="single" w:color="000000" w:sz="4" w:space="0"/>
              <w:bottom w:val="single" w:color="000000" w:sz="4" w:space="0"/>
              <w:right w:val="single" w:color="000000" w:sz="4" w:space="0"/>
            </w:tcBorders>
            <w:noWrap w:val="0"/>
            <w:vAlign w:val="center"/>
          </w:tcPr>
          <w:p w14:paraId="15A25C16">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增幅在</w:t>
            </w:r>
            <w:r>
              <w:rPr>
                <w:rFonts w:hint="default"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w:t>
            </w:r>
            <w:r>
              <w:rPr>
                <w:rFonts w:hint="default" w:ascii="Times New Roman" w:hAnsi="Times New Roman" w:eastAsia="宋体" w:cs="Times New Roman"/>
                <w:kern w:val="0"/>
                <w:sz w:val="18"/>
                <w:szCs w:val="18"/>
                <w:lang w:bidi="ar"/>
              </w:rPr>
              <w:t>（不含）</w:t>
            </w:r>
            <w:r>
              <w:rPr>
                <w:rFonts w:ascii="Times New Roman" w:hAnsi="Times New Roman" w:eastAsia="宋体" w:cs="Times New Roman"/>
                <w:kern w:val="0"/>
                <w:sz w:val="18"/>
                <w:szCs w:val="18"/>
                <w:lang w:bidi="ar"/>
              </w:rPr>
              <w:t>-</w:t>
            </w:r>
            <w:r>
              <w:rPr>
                <w:rFonts w:hint="default"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r>
              <w:rPr>
                <w:rFonts w:hint="default" w:ascii="Times New Roman" w:hAnsi="Times New Roman" w:eastAsia="宋体" w:cs="Times New Roman"/>
                <w:kern w:val="0"/>
                <w:sz w:val="18"/>
                <w:szCs w:val="18"/>
                <w:lang w:bidi="ar"/>
              </w:rPr>
              <w:t>（含）</w:t>
            </w:r>
            <w:r>
              <w:rPr>
                <w:rFonts w:ascii="Times New Roman" w:hAnsi="Times New Roman" w:eastAsia="宋体" w:cs="Times New Roman"/>
                <w:kern w:val="0"/>
                <w:sz w:val="18"/>
                <w:szCs w:val="18"/>
                <w:lang w:bidi="ar"/>
              </w:rPr>
              <w:t>之间，加</w:t>
            </w:r>
            <w:r>
              <w:rPr>
                <w:rFonts w:hint="default"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分；增幅</w:t>
            </w:r>
            <w:r>
              <w:rPr>
                <w:rFonts w:hint="default" w:ascii="Times New Roman" w:hAnsi="Times New Roman" w:eastAsia="宋体" w:cs="Times New Roman"/>
                <w:kern w:val="0"/>
                <w:sz w:val="18"/>
                <w:szCs w:val="18"/>
                <w:lang w:bidi="ar"/>
              </w:rPr>
              <w:t>在1</w:t>
            </w:r>
            <w:r>
              <w:rPr>
                <w:rFonts w:ascii="Times New Roman" w:hAnsi="Times New Roman" w:eastAsia="宋体" w:cs="Times New Roman"/>
                <w:kern w:val="0"/>
                <w:sz w:val="18"/>
                <w:szCs w:val="18"/>
                <w:lang w:bidi="ar"/>
              </w:rPr>
              <w:t>0%</w:t>
            </w:r>
            <w:r>
              <w:rPr>
                <w:rFonts w:hint="default" w:ascii="Times New Roman" w:hAnsi="Times New Roman" w:eastAsia="宋体" w:cs="Times New Roman"/>
                <w:kern w:val="0"/>
                <w:sz w:val="18"/>
                <w:szCs w:val="18"/>
                <w:lang w:bidi="ar"/>
              </w:rPr>
              <w:t>（不含）~15%（含）之间</w:t>
            </w:r>
            <w:r>
              <w:rPr>
                <w:rFonts w:ascii="Times New Roman" w:hAnsi="Times New Roman" w:eastAsia="宋体" w:cs="Times New Roman"/>
                <w:kern w:val="0"/>
                <w:sz w:val="18"/>
                <w:szCs w:val="18"/>
                <w:lang w:bidi="ar"/>
              </w:rPr>
              <w:t>，加</w:t>
            </w:r>
            <w:r>
              <w:rPr>
                <w:rFonts w:hint="default" w:ascii="Times New Roman" w:hAnsi="Times New Roman" w:eastAsia="宋体" w:cs="Times New Roman"/>
                <w:kern w:val="0"/>
                <w:sz w:val="18"/>
                <w:szCs w:val="18"/>
                <w:lang w:bidi="ar"/>
              </w:rPr>
              <w:t>3</w:t>
            </w:r>
            <w:r>
              <w:rPr>
                <w:rFonts w:ascii="Times New Roman" w:hAnsi="Times New Roman" w:eastAsia="宋体" w:cs="Times New Roman"/>
                <w:kern w:val="0"/>
                <w:sz w:val="18"/>
                <w:szCs w:val="18"/>
                <w:lang w:bidi="ar"/>
              </w:rPr>
              <w:t>分；增幅超过</w:t>
            </w:r>
            <w:r>
              <w:rPr>
                <w:rFonts w:hint="default" w:ascii="Times New Roman" w:hAnsi="Times New Roman" w:eastAsia="宋体" w:cs="Times New Roman"/>
                <w:kern w:val="0"/>
                <w:sz w:val="18"/>
                <w:szCs w:val="18"/>
                <w:lang w:bidi="ar"/>
              </w:rPr>
              <w:t>15</w:t>
            </w:r>
            <w:r>
              <w:rPr>
                <w:rFonts w:ascii="Times New Roman" w:hAnsi="Times New Roman" w:eastAsia="宋体" w:cs="Times New Roman"/>
                <w:kern w:val="0"/>
                <w:sz w:val="18"/>
                <w:szCs w:val="18"/>
                <w:lang w:bidi="ar"/>
              </w:rPr>
              <w:t>%，加</w:t>
            </w:r>
            <w:r>
              <w:rPr>
                <w:rFonts w:hint="default"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分。</w:t>
            </w:r>
          </w:p>
        </w:tc>
      </w:tr>
      <w:tr w14:paraId="0983C8D7">
        <w:tblPrEx>
          <w:tblCellMar>
            <w:top w:w="0" w:type="dxa"/>
            <w:left w:w="108" w:type="dxa"/>
            <w:bottom w:w="0" w:type="dxa"/>
            <w:right w:w="108" w:type="dxa"/>
          </w:tblCellMar>
        </w:tblPrEx>
        <w:trPr>
          <w:trHeight w:val="422" w:hRule="atLeast"/>
          <w:jc w:val="center"/>
        </w:trPr>
        <w:tc>
          <w:tcPr>
            <w:tcW w:w="1182" w:type="dxa"/>
            <w:vMerge w:val="continue"/>
            <w:tcBorders>
              <w:top w:val="single" w:color="auto" w:sz="4" w:space="0"/>
              <w:left w:val="single" w:color="000000" w:sz="4" w:space="0"/>
              <w:right w:val="single" w:color="000000" w:sz="4" w:space="0"/>
            </w:tcBorders>
            <w:noWrap w:val="0"/>
            <w:vAlign w:val="center"/>
          </w:tcPr>
          <w:p w14:paraId="431CE0DE">
            <w:pPr>
              <w:jc w:val="center"/>
              <w:rPr>
                <w:rFonts w:ascii="Times New Roman" w:hAnsi="Times New Roman" w:eastAsia="宋体" w:cs="Times New Roman"/>
                <w:sz w:val="18"/>
                <w:szCs w:val="18"/>
              </w:rPr>
            </w:pPr>
          </w:p>
        </w:tc>
        <w:tc>
          <w:tcPr>
            <w:tcW w:w="1466" w:type="dxa"/>
            <w:tcBorders>
              <w:top w:val="single" w:color="auto" w:sz="4" w:space="0"/>
              <w:left w:val="single" w:color="000000" w:sz="4" w:space="0"/>
              <w:bottom w:val="single" w:color="000000" w:sz="4" w:space="0"/>
              <w:right w:val="single" w:color="000000" w:sz="4" w:space="0"/>
            </w:tcBorders>
            <w:noWrap w:val="0"/>
            <w:vAlign w:val="center"/>
          </w:tcPr>
          <w:p w14:paraId="6A09F752">
            <w:pPr>
              <w:widowControl/>
              <w:spacing w:line="260" w:lineRule="exact"/>
              <w:jc w:val="center"/>
              <w:textAlignment w:val="center"/>
              <w:rPr>
                <w:rFonts w:ascii="Times New Roman" w:hAnsi="Times New Roman" w:eastAsia="宋体" w:cs="Times New Roman"/>
                <w:kern w:val="0"/>
                <w:sz w:val="18"/>
                <w:szCs w:val="18"/>
                <w:lang w:bidi="ar"/>
              </w:rPr>
            </w:pPr>
            <w:r>
              <w:rPr>
                <w:rFonts w:hint="default" w:ascii="Times New Roman" w:hAnsi="Times New Roman" w:eastAsia="宋体" w:cs="Times New Roman"/>
                <w:kern w:val="0"/>
                <w:sz w:val="18"/>
                <w:szCs w:val="18"/>
                <w:lang w:bidi="ar"/>
              </w:rPr>
              <w:t>荣誉表彰</w:t>
            </w:r>
          </w:p>
        </w:tc>
        <w:tc>
          <w:tcPr>
            <w:tcW w:w="1441" w:type="dxa"/>
            <w:tcBorders>
              <w:top w:val="single" w:color="auto" w:sz="4" w:space="0"/>
              <w:left w:val="single" w:color="000000" w:sz="4" w:space="0"/>
              <w:bottom w:val="single" w:color="000000" w:sz="4" w:space="0"/>
              <w:right w:val="single" w:color="000000" w:sz="4" w:space="0"/>
            </w:tcBorders>
            <w:noWrap w:val="0"/>
            <w:vAlign w:val="center"/>
          </w:tcPr>
          <w:p w14:paraId="7435E311">
            <w:pPr>
              <w:widowControl/>
              <w:spacing w:line="260" w:lineRule="exact"/>
              <w:jc w:val="center"/>
              <w:textAlignment w:val="center"/>
              <w:rPr>
                <w:rFonts w:hint="default"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GSTZ-2-2-2</w:t>
            </w:r>
            <w:r>
              <w:rPr>
                <w:rFonts w:hint="default" w:ascii="Times New Roman" w:hAnsi="Times New Roman" w:eastAsia="宋体" w:cs="Times New Roman"/>
                <w:kern w:val="0"/>
                <w:sz w:val="18"/>
                <w:szCs w:val="18"/>
                <w:lang w:bidi="ar"/>
              </w:rPr>
              <w:t>3</w:t>
            </w:r>
          </w:p>
        </w:tc>
        <w:tc>
          <w:tcPr>
            <w:tcW w:w="4015" w:type="dxa"/>
            <w:tcBorders>
              <w:top w:val="single" w:color="auto" w:sz="4" w:space="0"/>
              <w:left w:val="single" w:color="000000" w:sz="4" w:space="0"/>
              <w:bottom w:val="single" w:color="000000" w:sz="4" w:space="0"/>
              <w:right w:val="single" w:color="000000" w:sz="4" w:space="0"/>
            </w:tcBorders>
            <w:noWrap w:val="0"/>
            <w:vAlign w:val="center"/>
          </w:tcPr>
          <w:p w14:paraId="3BB51BC1">
            <w:pPr>
              <w:widowControl/>
              <w:spacing w:line="260" w:lineRule="exact"/>
              <w:textAlignment w:val="center"/>
              <w:rPr>
                <w:rFonts w:ascii="Times New Roman" w:hAnsi="Times New Roman" w:eastAsia="宋体" w:cs="Times New Roman"/>
                <w:kern w:val="0"/>
                <w:sz w:val="18"/>
                <w:szCs w:val="18"/>
                <w:lang w:bidi="ar"/>
              </w:rPr>
            </w:pPr>
            <w:r>
              <w:rPr>
                <w:rFonts w:hint="default" w:ascii="Times New Roman" w:hAnsi="Times New Roman" w:eastAsia="宋体" w:cs="Times New Roman"/>
                <w:kern w:val="0"/>
                <w:sz w:val="18"/>
                <w:szCs w:val="18"/>
                <w:lang w:bidi="ar"/>
              </w:rPr>
              <w:t>投资人信誉优良或积极承担社会责任，受到政府或行政部门表彰。</w:t>
            </w:r>
          </w:p>
        </w:tc>
        <w:tc>
          <w:tcPr>
            <w:tcW w:w="5113" w:type="dxa"/>
            <w:tcBorders>
              <w:top w:val="single" w:color="auto" w:sz="4" w:space="0"/>
              <w:left w:val="single" w:color="000000" w:sz="4" w:space="0"/>
              <w:bottom w:val="single" w:color="000000" w:sz="4" w:space="0"/>
              <w:right w:val="single" w:color="000000" w:sz="4" w:space="0"/>
            </w:tcBorders>
            <w:noWrap w:val="0"/>
            <w:vAlign w:val="center"/>
          </w:tcPr>
          <w:p w14:paraId="32F44A93">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受到市级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部门表彰的，加0.5分/次；</w:t>
            </w:r>
          </w:p>
          <w:p w14:paraId="240E6379">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受到市委、市政府或</w:t>
            </w:r>
            <w:r>
              <w:rPr>
                <w:rFonts w:hint="default" w:ascii="Times New Roman" w:hAnsi="Times New Roman" w:eastAsia="宋体" w:cs="Times New Roman"/>
                <w:kern w:val="0"/>
                <w:sz w:val="18"/>
                <w:szCs w:val="18"/>
                <w:lang w:bidi="ar"/>
              </w:rPr>
              <w:t>省</w:t>
            </w:r>
            <w:r>
              <w:rPr>
                <w:rFonts w:ascii="Times New Roman" w:hAnsi="Times New Roman" w:eastAsia="宋体" w:cs="Times New Roman"/>
                <w:kern w:val="0"/>
                <w:sz w:val="18"/>
                <w:szCs w:val="18"/>
                <w:lang w:bidi="ar"/>
              </w:rPr>
              <w:t>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w:t>
            </w:r>
            <w:r>
              <w:rPr>
                <w:rFonts w:hint="default"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分/次；</w:t>
            </w:r>
          </w:p>
          <w:p w14:paraId="67A574BD">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受到省委、省政府或</w:t>
            </w:r>
            <w:r>
              <w:rPr>
                <w:rFonts w:hint="default" w:ascii="Times New Roman" w:hAnsi="Times New Roman" w:eastAsia="宋体" w:cs="Times New Roman"/>
                <w:kern w:val="0"/>
                <w:sz w:val="18"/>
                <w:szCs w:val="18"/>
                <w:lang w:bidi="ar"/>
              </w:rPr>
              <w:t>部</w:t>
            </w:r>
            <w:r>
              <w:rPr>
                <w:rFonts w:ascii="Times New Roman" w:hAnsi="Times New Roman" w:eastAsia="宋体" w:cs="Times New Roman"/>
                <w:kern w:val="0"/>
                <w:sz w:val="18"/>
                <w:szCs w:val="18"/>
                <w:lang w:bidi="ar"/>
              </w:rPr>
              <w:t>级</w:t>
            </w:r>
            <w:r>
              <w:rPr>
                <w:rFonts w:hint="default" w:ascii="Times New Roman" w:hAnsi="Times New Roman" w:eastAsia="宋体" w:cs="Times New Roman"/>
                <w:kern w:val="0"/>
                <w:sz w:val="18"/>
                <w:szCs w:val="18"/>
                <w:lang w:bidi="ar"/>
              </w:rPr>
              <w:t>行政</w:t>
            </w:r>
            <w:r>
              <w:rPr>
                <w:rFonts w:ascii="Times New Roman" w:hAnsi="Times New Roman" w:eastAsia="宋体" w:cs="Times New Roman"/>
                <w:kern w:val="0"/>
                <w:sz w:val="18"/>
                <w:szCs w:val="18"/>
                <w:lang w:bidi="ar"/>
              </w:rPr>
              <w:t>部门表彰的，加</w:t>
            </w:r>
            <w:r>
              <w:rPr>
                <w:rFonts w:hint="default"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分/次；</w:t>
            </w:r>
          </w:p>
          <w:p w14:paraId="42653E47">
            <w:pPr>
              <w:widowControl/>
              <w:spacing w:line="26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受到党中央、国务院表彰的，加</w:t>
            </w:r>
            <w:r>
              <w:rPr>
                <w:rFonts w:hint="default" w:ascii="Times New Roman" w:hAnsi="Times New Roman" w:eastAsia="宋体" w:cs="Times New Roman"/>
                <w:kern w:val="0"/>
                <w:sz w:val="18"/>
                <w:szCs w:val="18"/>
                <w:lang w:bidi="ar"/>
              </w:rPr>
              <w:t>3</w:t>
            </w:r>
            <w:r>
              <w:rPr>
                <w:rFonts w:ascii="Times New Roman" w:hAnsi="Times New Roman" w:eastAsia="宋体" w:cs="Times New Roman"/>
                <w:kern w:val="0"/>
                <w:sz w:val="18"/>
                <w:szCs w:val="18"/>
                <w:lang w:bidi="ar"/>
              </w:rPr>
              <w:t>分/次。</w:t>
            </w:r>
          </w:p>
          <w:p w14:paraId="6A79007A">
            <w:pPr>
              <w:widowControl/>
              <w:spacing w:line="26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sz w:val="18"/>
                <w:szCs w:val="18"/>
                <w:lang w:bidi="ar"/>
              </w:rPr>
              <w:t>同一事项按就高不就低的原则，不重复加分。</w:t>
            </w:r>
          </w:p>
        </w:tc>
      </w:tr>
      <w:tr w14:paraId="71F63630">
        <w:tblPrEx>
          <w:tblCellMar>
            <w:top w:w="0" w:type="dxa"/>
            <w:left w:w="108" w:type="dxa"/>
            <w:bottom w:w="0" w:type="dxa"/>
            <w:right w:w="108" w:type="dxa"/>
          </w:tblCellMar>
        </w:tblPrEx>
        <w:trPr>
          <w:trHeight w:val="580" w:hRule="atLeast"/>
          <w:jc w:val="center"/>
        </w:trPr>
        <w:tc>
          <w:tcPr>
            <w:tcW w:w="1182" w:type="dxa"/>
            <w:vMerge w:val="continue"/>
            <w:tcBorders>
              <w:left w:val="single" w:color="000000" w:sz="4" w:space="0"/>
              <w:bottom w:val="single" w:color="000000" w:sz="4" w:space="0"/>
              <w:right w:val="single" w:color="000000" w:sz="4" w:space="0"/>
            </w:tcBorders>
            <w:noWrap w:val="0"/>
            <w:vAlign w:val="center"/>
          </w:tcPr>
          <w:p w14:paraId="3C58E8D8">
            <w:pPr>
              <w:jc w:val="center"/>
              <w:rPr>
                <w:rFonts w:ascii="Times New Roman" w:hAnsi="Times New Roman" w:eastAsia="宋体" w:cs="Times New Roman"/>
                <w:sz w:val="18"/>
                <w:szCs w:val="18"/>
              </w:rPr>
            </w:pPr>
          </w:p>
        </w:tc>
        <w:tc>
          <w:tcPr>
            <w:tcW w:w="1466" w:type="dxa"/>
            <w:tcBorders>
              <w:top w:val="single" w:color="000000" w:sz="4" w:space="0"/>
              <w:left w:val="single" w:color="000000" w:sz="4" w:space="0"/>
              <w:bottom w:val="single" w:color="000000" w:sz="4" w:space="0"/>
              <w:right w:val="single" w:color="000000" w:sz="4" w:space="0"/>
            </w:tcBorders>
            <w:noWrap/>
            <w:vAlign w:val="center"/>
          </w:tcPr>
          <w:p w14:paraId="4EC56C6E">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其他</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8C44C08">
            <w:pPr>
              <w:widowControl/>
              <w:spacing w:line="26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GSTZ-2-2-</w:t>
            </w:r>
            <w:r>
              <w:rPr>
                <w:rFonts w:hint="default" w:ascii="Times New Roman" w:hAnsi="Times New Roman" w:eastAsia="宋体" w:cs="Times New Roman"/>
                <w:kern w:val="0"/>
                <w:sz w:val="18"/>
                <w:szCs w:val="18"/>
                <w:lang w:bidi="ar"/>
              </w:rPr>
              <w:t>24</w:t>
            </w:r>
          </w:p>
        </w:tc>
        <w:tc>
          <w:tcPr>
            <w:tcW w:w="4015" w:type="dxa"/>
            <w:tcBorders>
              <w:top w:val="single" w:color="000000" w:sz="4" w:space="0"/>
              <w:left w:val="single" w:color="000000" w:sz="4" w:space="0"/>
              <w:bottom w:val="single" w:color="000000" w:sz="4" w:space="0"/>
              <w:right w:val="single" w:color="000000" w:sz="4" w:space="0"/>
            </w:tcBorders>
            <w:noWrap/>
            <w:vAlign w:val="center"/>
          </w:tcPr>
          <w:p w14:paraId="3455BA46">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依据省委省政府、交通运输厅其他相关激励政策予以加分。</w:t>
            </w:r>
          </w:p>
        </w:tc>
        <w:tc>
          <w:tcPr>
            <w:tcW w:w="5113" w:type="dxa"/>
            <w:tcBorders>
              <w:top w:val="single" w:color="000000" w:sz="4" w:space="0"/>
              <w:left w:val="single" w:color="000000" w:sz="4" w:space="0"/>
              <w:bottom w:val="single" w:color="000000" w:sz="4" w:space="0"/>
              <w:right w:val="single" w:color="000000" w:sz="4" w:space="0"/>
            </w:tcBorders>
            <w:noWrap/>
            <w:vAlign w:val="center"/>
          </w:tcPr>
          <w:p w14:paraId="5DFABE88">
            <w:pPr>
              <w:widowControl/>
              <w:spacing w:line="260" w:lineRule="exac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符合条件的，按文件规定予以加分。</w:t>
            </w:r>
          </w:p>
        </w:tc>
      </w:tr>
    </w:tbl>
    <w:p w14:paraId="1EE98B10">
      <w:pPr>
        <w:pStyle w:val="2"/>
        <w:spacing w:after="0" w:line="340" w:lineRule="exact"/>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备注：1.投资人年度信用评价计分方式如下，总分=项目履约得分+</w:t>
      </w:r>
      <w:r>
        <w:rPr>
          <w:rFonts w:hint="default" w:ascii="Times New Roman" w:hAnsi="Times New Roman" w:eastAsia="宋体" w:cs="Times New Roman"/>
          <w:kern w:val="0"/>
          <w:sz w:val="20"/>
          <w:szCs w:val="20"/>
          <w:lang w:bidi="ar"/>
        </w:rPr>
        <w:t>投资</w:t>
      </w:r>
      <w:r>
        <w:rPr>
          <w:rFonts w:ascii="Times New Roman" w:hAnsi="Times New Roman" w:eastAsia="宋体" w:cs="Times New Roman"/>
          <w:kern w:val="0"/>
          <w:sz w:val="20"/>
          <w:szCs w:val="20"/>
          <w:lang w:bidi="ar"/>
        </w:rPr>
        <w:t>能力得分。</w:t>
      </w:r>
    </w:p>
    <w:p w14:paraId="0FE966B1">
      <w:pPr>
        <w:pStyle w:val="2"/>
        <w:spacing w:after="0" w:line="240" w:lineRule="auto"/>
        <w:ind w:left="777" w:leftChars="370"/>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xml:space="preserve">项目履约得分 </w:t>
      </w:r>
      <m:oMath>
        <m:r>
          <m:rPr>
            <m:sty m:val="b"/>
          </m:rPr>
          <w:rPr>
            <w:rFonts w:hint="default" w:ascii="DejaVu Math TeX Gyre" w:hAnsi="DejaVu Math TeX Gyre"/>
            <w:spacing w:val="2"/>
            <w:sz w:val="20"/>
            <w:szCs w:val="32"/>
          </w:rPr>
          <m:t>F=</m:t>
        </m:r>
        <m:f>
          <m:fPr>
            <m:ctrlPr>
              <w:rPr>
                <w:rFonts w:hint="default" w:ascii="DejaVu Math TeX Gyre" w:hAnsi="DejaVu Math TeX Gyre"/>
                <w:spacing w:val="2"/>
                <w:sz w:val="20"/>
                <w:szCs w:val="32"/>
              </w:rPr>
            </m:ctrlPr>
          </m:fPr>
          <m:num>
            <m:nary>
              <m:naryPr>
                <m:chr m:val="∑"/>
                <m:limLoc m:val="undOvr"/>
                <m:ctrlPr>
                  <w:rPr>
                    <w:rFonts w:hint="default" w:ascii="DejaVu Math TeX Gyre" w:hAnsi="DejaVu Math TeX Gyre"/>
                    <w:spacing w:val="2"/>
                    <w:sz w:val="20"/>
                    <w:szCs w:val="32"/>
                  </w:rPr>
                </m:ctrlPr>
              </m:naryPr>
              <m:sub>
                <m:argPr>
                  <m:argSz m:val="-1"/>
                </m:argPr>
                <m:r>
                  <m:rPr>
                    <m:sty m:val="b"/>
                  </m:rPr>
                  <w:rPr>
                    <w:rFonts w:hint="default" w:ascii="DejaVu Math TeX Gyre" w:hAnsi="DejaVu Math TeX Gyre"/>
                    <w:spacing w:val="2"/>
                    <w:sz w:val="20"/>
                    <w:szCs w:val="32"/>
                  </w:rPr>
                  <m:t>i=1</m:t>
                </m:r>
                <m:ctrlPr>
                  <w:rPr>
                    <w:rFonts w:hint="default" w:ascii="DejaVu Math TeX Gyre" w:hAnsi="DejaVu Math TeX Gyre"/>
                    <w:spacing w:val="2"/>
                    <w:sz w:val="20"/>
                    <w:szCs w:val="32"/>
                  </w:rPr>
                </m:ctrlPr>
              </m:sub>
              <m:sup>
                <m:r>
                  <m:rPr>
                    <m:sty m:val="b"/>
                  </m:rPr>
                  <w:rPr>
                    <w:rFonts w:hint="default" w:ascii="DejaVu Math TeX Gyre" w:hAnsi="DejaVu Math TeX Gyre"/>
                    <w:spacing w:val="2"/>
                    <w:sz w:val="20"/>
                    <w:szCs w:val="32"/>
                  </w:rPr>
                  <m:t>n</m:t>
                </m:r>
                <m:ctrlPr>
                  <w:rPr>
                    <w:rFonts w:hint="default" w:ascii="DejaVu Math TeX Gyre" w:hAnsi="DejaVu Math TeX Gyre"/>
                    <w:spacing w:val="2"/>
                    <w:sz w:val="20"/>
                    <w:szCs w:val="32"/>
                  </w:rPr>
                </m:ctrlPr>
              </m:sup>
              <m:e>
                <m:sSub>
                  <m:sSubPr>
                    <m:ctrlPr>
                      <w:rPr>
                        <w:rFonts w:hint="default" w:ascii="DejaVu Math TeX Gyre" w:hAnsi="DejaVu Math TeX Gyre"/>
                        <w:spacing w:val="2"/>
                        <w:sz w:val="20"/>
                        <w:szCs w:val="32"/>
                      </w:rPr>
                    </m:ctrlPr>
                  </m:sSubPr>
                  <m:e>
                    <m:r>
                      <m:rPr>
                        <m:sty m:val="b"/>
                      </m:rPr>
                      <w:rPr>
                        <w:rFonts w:hint="default" w:ascii="DejaVu Math TeX Gyre" w:hAnsi="DejaVu Math TeX Gyre"/>
                        <w:spacing w:val="2"/>
                        <w:sz w:val="20"/>
                        <w:szCs w:val="32"/>
                      </w:rPr>
                      <m:t>X</m:t>
                    </m:r>
                    <m:ctrlPr>
                      <w:rPr>
                        <w:rFonts w:hint="default" w:ascii="DejaVu Math TeX Gyre" w:hAnsi="DejaVu Math TeX Gyre"/>
                        <w:spacing w:val="2"/>
                        <w:sz w:val="20"/>
                        <w:szCs w:val="32"/>
                      </w:rPr>
                    </m:ctrlPr>
                  </m:e>
                  <m:sub>
                    <m:r>
                      <m:rPr>
                        <m:sty m:val="b"/>
                      </m:rPr>
                      <w:rPr>
                        <w:rFonts w:hint="default" w:ascii="DejaVu Math TeX Gyre" w:hAnsi="DejaVu Math TeX Gyre"/>
                        <w:spacing w:val="2"/>
                        <w:sz w:val="20"/>
                        <w:szCs w:val="32"/>
                      </w:rPr>
                      <m:t>i</m:t>
                    </m:r>
                    <m:ctrlPr>
                      <w:rPr>
                        <w:rFonts w:hint="default" w:ascii="DejaVu Math TeX Gyre" w:hAnsi="DejaVu Math TeX Gyre"/>
                        <w:spacing w:val="2"/>
                        <w:sz w:val="20"/>
                        <w:szCs w:val="32"/>
                      </w:rPr>
                    </m:ctrlPr>
                  </m:sub>
                </m:sSub>
                <m:sSub>
                  <m:sSubPr>
                    <m:ctrlPr>
                      <w:rPr>
                        <w:rFonts w:hint="default" w:ascii="DejaVu Math TeX Gyre" w:hAnsi="DejaVu Math TeX Gyre"/>
                        <w:spacing w:val="2"/>
                        <w:sz w:val="20"/>
                        <w:szCs w:val="32"/>
                      </w:rPr>
                    </m:ctrlPr>
                  </m:sSubPr>
                  <m:e>
                    <m:r>
                      <m:rPr>
                        <m:sty m:val="b"/>
                      </m:rPr>
                      <w:rPr>
                        <w:rFonts w:hint="default" w:ascii="DejaVu Math TeX Gyre" w:hAnsi="DejaVu Math TeX Gyre"/>
                        <w:spacing w:val="2"/>
                        <w:sz w:val="20"/>
                        <w:szCs w:val="32"/>
                      </w:rPr>
                      <m:t>Y</m:t>
                    </m:r>
                    <m:ctrlPr>
                      <w:rPr>
                        <w:rFonts w:hint="default" w:ascii="DejaVu Math TeX Gyre" w:hAnsi="DejaVu Math TeX Gyre"/>
                        <w:spacing w:val="2"/>
                        <w:sz w:val="20"/>
                        <w:szCs w:val="32"/>
                      </w:rPr>
                    </m:ctrlPr>
                  </m:e>
                  <m:sub>
                    <m:r>
                      <m:rPr>
                        <m:sty m:val="b"/>
                      </m:rPr>
                      <w:rPr>
                        <w:rFonts w:hint="default" w:ascii="DejaVu Math TeX Gyre" w:hAnsi="DejaVu Math TeX Gyre"/>
                        <w:spacing w:val="2"/>
                        <w:sz w:val="20"/>
                        <w:szCs w:val="32"/>
                      </w:rPr>
                      <m:t>i</m:t>
                    </m:r>
                    <m:ctrlPr>
                      <w:rPr>
                        <w:rFonts w:hint="default" w:ascii="DejaVu Math TeX Gyre" w:hAnsi="DejaVu Math TeX Gyre"/>
                        <w:spacing w:val="2"/>
                        <w:sz w:val="20"/>
                        <w:szCs w:val="32"/>
                      </w:rPr>
                    </m:ctrlPr>
                  </m:sub>
                </m:sSub>
                <m:ctrlPr>
                  <w:rPr>
                    <w:rFonts w:hint="default" w:ascii="DejaVu Math TeX Gyre" w:hAnsi="DejaVu Math TeX Gyre"/>
                    <w:spacing w:val="2"/>
                    <w:sz w:val="20"/>
                    <w:szCs w:val="32"/>
                  </w:rPr>
                </m:ctrlPr>
              </m:e>
            </m:nary>
            <m:ctrlPr>
              <w:rPr>
                <w:rFonts w:hint="default" w:ascii="DejaVu Math TeX Gyre" w:hAnsi="DejaVu Math TeX Gyre"/>
                <w:spacing w:val="2"/>
                <w:sz w:val="20"/>
                <w:szCs w:val="32"/>
              </w:rPr>
            </m:ctrlPr>
          </m:num>
          <m:den>
            <m:nary>
              <m:naryPr>
                <m:chr m:val="∑"/>
                <m:limLoc m:val="undOvr"/>
                <m:ctrlPr>
                  <w:rPr>
                    <w:rFonts w:hint="default" w:ascii="DejaVu Math TeX Gyre" w:hAnsi="DejaVu Math TeX Gyre"/>
                    <w:spacing w:val="2"/>
                    <w:sz w:val="20"/>
                    <w:szCs w:val="32"/>
                  </w:rPr>
                </m:ctrlPr>
              </m:naryPr>
              <m:sub>
                <m:r>
                  <m:rPr>
                    <m:sty m:val="b"/>
                  </m:rPr>
                  <w:rPr>
                    <w:rFonts w:hint="default" w:ascii="DejaVu Math TeX Gyre" w:hAnsi="DejaVu Math TeX Gyre"/>
                    <w:spacing w:val="2"/>
                    <w:sz w:val="20"/>
                    <w:szCs w:val="32"/>
                  </w:rPr>
                  <m:t>i=1</m:t>
                </m:r>
                <m:ctrlPr>
                  <w:rPr>
                    <w:rFonts w:hint="default" w:ascii="DejaVu Math TeX Gyre" w:hAnsi="DejaVu Math TeX Gyre"/>
                    <w:spacing w:val="2"/>
                    <w:sz w:val="20"/>
                    <w:szCs w:val="32"/>
                  </w:rPr>
                </m:ctrlPr>
              </m:sub>
              <m:sup>
                <m:r>
                  <m:rPr>
                    <m:sty m:val="b"/>
                  </m:rPr>
                  <w:rPr>
                    <w:rFonts w:hint="default" w:ascii="DejaVu Math TeX Gyre" w:hAnsi="DejaVu Math TeX Gyre"/>
                    <w:spacing w:val="2"/>
                    <w:sz w:val="20"/>
                    <w:szCs w:val="32"/>
                  </w:rPr>
                  <m:t>n</m:t>
                </m:r>
                <m:ctrlPr>
                  <w:rPr>
                    <w:rFonts w:hint="default" w:ascii="DejaVu Math TeX Gyre" w:hAnsi="DejaVu Math TeX Gyre"/>
                    <w:spacing w:val="2"/>
                    <w:sz w:val="20"/>
                    <w:szCs w:val="32"/>
                  </w:rPr>
                </m:ctrlPr>
              </m:sup>
              <m:e>
                <m:sSub>
                  <m:sSubPr>
                    <m:ctrlPr>
                      <w:rPr>
                        <w:rFonts w:hint="default" w:ascii="DejaVu Math TeX Gyre" w:hAnsi="DejaVu Math TeX Gyre"/>
                        <w:spacing w:val="2"/>
                        <w:sz w:val="20"/>
                        <w:szCs w:val="32"/>
                      </w:rPr>
                    </m:ctrlPr>
                  </m:sSubPr>
                  <m:e>
                    <m:r>
                      <m:rPr>
                        <m:sty m:val="b"/>
                      </m:rPr>
                      <w:rPr>
                        <w:rFonts w:hint="default" w:ascii="DejaVu Math TeX Gyre" w:hAnsi="DejaVu Math TeX Gyre"/>
                        <w:spacing w:val="2"/>
                        <w:sz w:val="20"/>
                        <w:szCs w:val="32"/>
                      </w:rPr>
                      <m:t>Y</m:t>
                    </m:r>
                    <m:ctrlPr>
                      <w:rPr>
                        <w:rFonts w:hint="default" w:ascii="DejaVu Math TeX Gyre" w:hAnsi="DejaVu Math TeX Gyre"/>
                        <w:spacing w:val="2"/>
                        <w:sz w:val="20"/>
                        <w:szCs w:val="32"/>
                      </w:rPr>
                    </m:ctrlPr>
                  </m:e>
                  <m:sub>
                    <m:r>
                      <m:rPr>
                        <m:sty m:val="b"/>
                      </m:rPr>
                      <w:rPr>
                        <w:rFonts w:hint="default" w:ascii="DejaVu Math TeX Gyre" w:hAnsi="DejaVu Math TeX Gyre"/>
                        <w:spacing w:val="2"/>
                        <w:sz w:val="20"/>
                        <w:szCs w:val="32"/>
                      </w:rPr>
                      <m:t>i</m:t>
                    </m:r>
                    <m:ctrlPr>
                      <w:rPr>
                        <w:rFonts w:hint="default" w:ascii="DejaVu Math TeX Gyre" w:hAnsi="DejaVu Math TeX Gyre"/>
                        <w:spacing w:val="2"/>
                        <w:sz w:val="20"/>
                        <w:szCs w:val="32"/>
                      </w:rPr>
                    </m:ctrlPr>
                  </m:sub>
                </m:sSub>
                <m:ctrlPr>
                  <w:rPr>
                    <w:rFonts w:hint="default" w:ascii="DejaVu Math TeX Gyre" w:hAnsi="DejaVu Math TeX Gyre"/>
                    <w:spacing w:val="2"/>
                    <w:sz w:val="20"/>
                    <w:szCs w:val="32"/>
                  </w:rPr>
                </m:ctrlPr>
              </m:e>
            </m:nary>
            <m:ctrlPr>
              <w:rPr>
                <w:rFonts w:hint="default" w:ascii="DejaVu Math TeX Gyre" w:hAnsi="DejaVu Math TeX Gyre"/>
                <w:spacing w:val="2"/>
                <w:sz w:val="20"/>
                <w:szCs w:val="32"/>
              </w:rPr>
            </m:ctrlPr>
          </m:den>
        </m:f>
        <m:r>
          <m:rPr>
            <m:sty m:val="b"/>
          </m:rPr>
          <w:rPr>
            <w:rFonts w:hint="default" w:ascii="DejaVu Math TeX Gyre" w:hAnsi="DejaVu Math TeX Gyre"/>
            <w:spacing w:val="2"/>
            <w:sz w:val="20"/>
            <w:szCs w:val="32"/>
          </w:rPr>
          <m:t xml:space="preserve"> </m:t>
        </m:r>
      </m:oMath>
      <w:r>
        <w:rPr>
          <w:rFonts w:ascii="Times New Roman" w:hAnsi="Times New Roman" w:eastAsia="宋体" w:cs="Times New Roman"/>
          <w:spacing w:val="2"/>
          <w:sz w:val="32"/>
          <w:szCs w:val="32"/>
        </w:rPr>
        <w:t xml:space="preserve"> </w:t>
      </w:r>
      <w:r>
        <w:rPr>
          <w:rFonts w:ascii="Times New Roman" w:hAnsi="Times New Roman" w:eastAsia="宋体" w:cs="Times New Roman"/>
          <w:kern w:val="0"/>
          <w:sz w:val="20"/>
          <w:szCs w:val="20"/>
          <w:lang w:bidi="ar"/>
        </w:rPr>
        <w:t>，X</w:t>
      </w:r>
      <w:r>
        <w:rPr>
          <w:rFonts w:ascii="Times New Roman" w:hAnsi="Times New Roman" w:eastAsia="宋体" w:cs="Times New Roman"/>
          <w:kern w:val="0"/>
          <w:sz w:val="20"/>
          <w:szCs w:val="20"/>
          <w:vertAlign w:val="subscript"/>
          <w:lang w:bidi="ar"/>
        </w:rPr>
        <w:t>i</w:t>
      </w:r>
      <w:r>
        <w:rPr>
          <w:rFonts w:ascii="Times New Roman" w:hAnsi="Times New Roman" w:eastAsia="宋体" w:cs="Times New Roman"/>
          <w:kern w:val="0"/>
          <w:sz w:val="20"/>
          <w:szCs w:val="20"/>
          <w:lang w:bidi="ar"/>
        </w:rPr>
        <w:t>为投资人第i项目得分，Y</w:t>
      </w:r>
      <w:r>
        <w:rPr>
          <w:rFonts w:ascii="Times New Roman" w:hAnsi="Times New Roman" w:eastAsia="宋体" w:cs="Times New Roman"/>
          <w:kern w:val="0"/>
          <w:sz w:val="20"/>
          <w:szCs w:val="20"/>
          <w:vertAlign w:val="subscript"/>
          <w:lang w:bidi="ar"/>
        </w:rPr>
        <w:t>i</w:t>
      </w:r>
      <w:r>
        <w:rPr>
          <w:rFonts w:ascii="Times New Roman" w:hAnsi="Times New Roman" w:eastAsia="宋体" w:cs="Times New Roman"/>
          <w:kern w:val="0"/>
          <w:sz w:val="20"/>
          <w:szCs w:val="20"/>
          <w:lang w:bidi="ar"/>
        </w:rPr>
        <w:t>为投资人在i项目公司的股权比例。</w:t>
      </w:r>
    </w:p>
    <w:p w14:paraId="1D60E2FA">
      <w:pPr>
        <w:pStyle w:val="2"/>
        <w:spacing w:after="0" w:line="260" w:lineRule="exact"/>
        <w:ind w:left="777" w:leftChars="370"/>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单个项目得分=该项目准备阶段得分×准备阶段时间</w:t>
      </w:r>
      <w:r>
        <w:rPr>
          <w:rFonts w:hint="default" w:ascii="Times New Roman" w:hAnsi="Times New Roman" w:eastAsia="宋体" w:cs="Times New Roman"/>
          <w:kern w:val="0"/>
          <w:sz w:val="20"/>
          <w:szCs w:val="20"/>
          <w:lang w:bidi="ar"/>
        </w:rPr>
        <w:t>权重</w:t>
      </w:r>
      <w:r>
        <w:rPr>
          <w:rFonts w:ascii="Times New Roman" w:hAnsi="Times New Roman" w:eastAsia="宋体" w:cs="Times New Roman"/>
          <w:kern w:val="0"/>
          <w:sz w:val="20"/>
          <w:szCs w:val="20"/>
          <w:lang w:bidi="ar"/>
        </w:rPr>
        <w:t>+该项目建设阶段得分×建设阶段时间</w:t>
      </w:r>
      <w:r>
        <w:rPr>
          <w:rFonts w:hint="default" w:ascii="Times New Roman" w:hAnsi="Times New Roman" w:eastAsia="宋体" w:cs="Times New Roman"/>
          <w:kern w:val="0"/>
          <w:sz w:val="20"/>
          <w:szCs w:val="20"/>
          <w:lang w:bidi="ar"/>
        </w:rPr>
        <w:t>权重</w:t>
      </w:r>
      <w:r>
        <w:rPr>
          <w:rFonts w:ascii="Times New Roman" w:hAnsi="Times New Roman" w:eastAsia="宋体" w:cs="Times New Roman"/>
          <w:kern w:val="0"/>
          <w:sz w:val="20"/>
          <w:szCs w:val="20"/>
          <w:lang w:bidi="ar"/>
        </w:rPr>
        <w:t>+该项目运营阶段得分×运营阶段时间</w:t>
      </w:r>
      <w:r>
        <w:rPr>
          <w:rFonts w:hint="default" w:ascii="Times New Roman" w:hAnsi="Times New Roman" w:eastAsia="宋体" w:cs="Times New Roman"/>
          <w:kern w:val="0"/>
          <w:sz w:val="20"/>
          <w:szCs w:val="20"/>
          <w:lang w:bidi="ar"/>
        </w:rPr>
        <w:t>权重</w:t>
      </w:r>
      <w:r>
        <w:rPr>
          <w:rFonts w:ascii="Times New Roman" w:hAnsi="Times New Roman" w:eastAsia="宋体" w:cs="Times New Roman"/>
          <w:kern w:val="0"/>
          <w:sz w:val="20"/>
          <w:szCs w:val="20"/>
          <w:lang w:bidi="ar"/>
        </w:rPr>
        <w:t>+加分项得分。</w:t>
      </w:r>
    </w:p>
    <w:p w14:paraId="1884A92A">
      <w:pPr>
        <w:pStyle w:val="2"/>
        <w:spacing w:after="0" w:line="260" w:lineRule="exact"/>
        <w:ind w:left="777" w:leftChars="370"/>
        <w:jc w:val="left"/>
        <w:rPr>
          <w:rFonts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投资</w:t>
      </w:r>
      <w:r>
        <w:rPr>
          <w:rFonts w:ascii="Times New Roman" w:hAnsi="Times New Roman" w:eastAsia="宋体" w:cs="Times New Roman"/>
          <w:kern w:val="0"/>
          <w:sz w:val="20"/>
          <w:szCs w:val="20"/>
          <w:lang w:bidi="ar"/>
        </w:rPr>
        <w:t>能力得分=</w:t>
      </w:r>
      <w:r>
        <w:rPr>
          <w:rFonts w:hint="default" w:ascii="Times New Roman" w:hAnsi="Times New Roman" w:eastAsia="宋体" w:cs="Times New Roman"/>
          <w:kern w:val="0"/>
          <w:sz w:val="20"/>
          <w:szCs w:val="20"/>
          <w:lang w:bidi="ar"/>
        </w:rPr>
        <w:t>财务状况</w:t>
      </w:r>
      <w:r>
        <w:rPr>
          <w:rFonts w:ascii="Times New Roman" w:hAnsi="Times New Roman" w:eastAsia="宋体" w:cs="Times New Roman"/>
          <w:kern w:val="0"/>
          <w:sz w:val="20"/>
          <w:szCs w:val="20"/>
          <w:lang w:bidi="ar"/>
        </w:rPr>
        <w:t>得分+公共信用记录得分+加分项得分。</w:t>
      </w:r>
    </w:p>
    <w:p w14:paraId="352B7F2C">
      <w:pPr>
        <w:pStyle w:val="2"/>
        <w:spacing w:after="0" w:line="260" w:lineRule="exact"/>
        <w:ind w:left="777" w:leftChars="370"/>
        <w:jc w:val="left"/>
        <w:rPr>
          <w:rFonts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例1：某项目评价年度内，1-4月为准备期，准备期得分为80分，5-12月为建设期，建设期得分为70分，荣誉加分2分，则单个项目得分=80*（4/12）+70*(8/12)+2=75.33分。</w:t>
      </w:r>
    </w:p>
    <w:p w14:paraId="28EDF3B5">
      <w:pPr>
        <w:pStyle w:val="2"/>
        <w:spacing w:after="0" w:line="260" w:lineRule="exact"/>
        <w:ind w:left="777" w:leftChars="370"/>
        <w:jc w:val="left"/>
        <w:rPr>
          <w:rFonts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例2：某投资人评价年度内存在5个投资项目，项目1股权占比10%，项目2股权占比50%，项目3股权占比60%，项目4股权占比30%，项目5股权占比30%，项目1年度评分90分，项目2年度评分85分，项目3年度评分70分，项目4年度评分75分，项目5年度评分68分，则该投资人项目履约得分=（90*10%+85*50%+70*60%+75*30%+68*30%）/（10%+50%+60%+30%+30%）=75.78分。</w:t>
      </w:r>
    </w:p>
    <w:p w14:paraId="567F385C">
      <w:r>
        <w:rPr>
          <w:rFonts w:hint="default" w:ascii="Times New Roman" w:hAnsi="Times New Roman" w:eastAsia="宋体" w:cs="Times New Roman"/>
          <w:kern w:val="0"/>
          <w:sz w:val="20"/>
          <w:szCs w:val="20"/>
          <w:lang w:bidi="ar"/>
        </w:rPr>
        <w:t>2</w:t>
      </w:r>
      <w:r>
        <w:rPr>
          <w:rFonts w:ascii="Times New Roman" w:hAnsi="Times New Roman" w:eastAsia="宋体" w:cs="Times New Roman"/>
          <w:kern w:val="0"/>
          <w:sz w:val="20"/>
          <w:szCs w:val="20"/>
          <w:lang w:bidi="ar"/>
        </w:rPr>
        <w:t>.</w:t>
      </w:r>
      <w:r>
        <w:rPr>
          <w:rFonts w:hint="default" w:ascii="Times New Roman" w:hAnsi="Times New Roman" w:eastAsia="宋体" w:cs="Times New Roman"/>
          <w:kern w:val="0"/>
          <w:sz w:val="20"/>
          <w:szCs w:val="20"/>
          <w:lang w:bidi="ar"/>
        </w:rPr>
        <w:t>每项信用评价记录均应附上依据。当因同一事件就标准中同一具体失信行为进行扣分时，按“就高不就低”原则执行，不重复扣分。</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462B"/>
    <w:rsid w:val="37B449F3"/>
    <w:rsid w:val="4F20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uppressAutoHyphens/>
      <w:spacing w:before="0" w:after="140" w:line="276" w:lineRule="auto"/>
      <w:jc w:val="both"/>
    </w:pPr>
    <w:rPr>
      <w:rFonts w:ascii="Calibri" w:hAnsi="Calibri" w:eastAsia="宋体" w:cs="Times New Roman"/>
      <w:kern w:val="2"/>
      <w:sz w:val="21"/>
      <w:szCs w:val="24"/>
      <w:lang w:val="en-US" w:eastAsia="zh-CN" w:bidi="ar-SA"/>
    </w:rPr>
  </w:style>
  <w:style w:type="paragraph" w:styleId="3">
    <w:name w:val="footer"/>
    <w:qFormat/>
    <w:uiPriority w:val="99"/>
    <w:pPr>
      <w:widowControl w:val="0"/>
      <w:tabs>
        <w:tab w:val="center" w:pos="4153"/>
        <w:tab w:val="right" w:pos="8306"/>
      </w:tabs>
      <w:suppressAutoHyphens/>
      <w:snapToGrid w:val="0"/>
      <w:jc w:val="left"/>
    </w:pPr>
    <w:rPr>
      <w:rFonts w:ascii="Calibri" w:hAnsi="Calibri" w:eastAsia="宋体" w:cs="Times New Roman"/>
      <w:kern w:val="2"/>
      <w:sz w:val="18"/>
      <w:szCs w:val="24"/>
      <w:lang w:val="en-US" w:eastAsia="zh-CN" w:bidi="ar-SA"/>
    </w:rPr>
  </w:style>
  <w:style w:type="character" w:customStyle="1" w:styleId="6">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2025-12-29T09:20:00Z</dcterms:created>
  <dc:creator>之一</dc:creator>
  <cp:lastModifiedBy>之一</cp:lastModifiedBy>
  <dcterms:modified xsi:type="dcterms:W3CDTF">2025-12-29T09:23:33Z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CACCAF19CAAE4D7F81970F094940F858_13</vt:lpwstr>
  </property>
  <property fmtid="{D5CDD505-2E9C-101B-9397-08002B2CF9AE}" pid="4" name="KSOTemplateDocerSaveRecord">
    <vt:lpwstr>eyJoZGlkIjoiYTIwNGFmYWEyMmY5NDk3YTZjZWRhMzYzNTYzNzFhYzEiLCJ1c2VySWQiOiI4MjM2MTM3NjkifQ==</vt:lpwstr>
  </property>
</Properties>
</file>