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B020F">
      <w:pPr>
        <w:pStyle w:val="2"/>
        <w:spacing w:after="0" w:line="5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  <w:bookmarkStart w:id="0" w:name="_GoBack"/>
      <w:bookmarkEnd w:id="0"/>
    </w:p>
    <w:p w14:paraId="69939F86">
      <w:pPr>
        <w:pStyle w:val="2"/>
        <w:spacing w:after="0" w:line="5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kern w:val="0"/>
          <w:sz w:val="44"/>
          <w:szCs w:val="44"/>
          <w:lang w:bidi="ar"/>
        </w:rPr>
        <w:t>四川省高速公路投资人初次信用评价评分标准</w:t>
      </w:r>
    </w:p>
    <w:tbl>
      <w:tblPr>
        <w:tblStyle w:val="4"/>
        <w:tblW w:w="134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364"/>
        <w:gridCol w:w="1191"/>
        <w:gridCol w:w="4792"/>
        <w:gridCol w:w="4975"/>
      </w:tblGrid>
      <w:tr w14:paraId="21A03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A0659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31166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CDA67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  <w:lang w:bidi="ar"/>
              </w:rPr>
              <w:t>行为代码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A1DD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  <w:lang w:bidi="ar"/>
              </w:rPr>
              <w:t>评价内容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1D386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  <w:lang w:bidi="ar"/>
              </w:rPr>
              <w:t>评分标准</w:t>
            </w:r>
          </w:p>
        </w:tc>
      </w:tr>
      <w:tr w14:paraId="15ACA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9699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财务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状况</w:t>
            </w:r>
          </w:p>
          <w:p w14:paraId="1B0FD7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（满分40分，扣完为止）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FE08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年度财务审计报告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7825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GSTZ-1-01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7B4A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近三年度财务审计报告是否连续完整。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F03D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未按要求提供近三年完整年度财务审计报告，且无正当理由的，扣10分/年。</w:t>
            </w:r>
          </w:p>
        </w:tc>
      </w:tr>
      <w:tr w14:paraId="7AB0D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2D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D0CA5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会计信息质量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F507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GSTZ-1-02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465B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近三年度财务审计报告审计意见类型。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64D4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审计意见为“标准的无保留意见”之外的，扣10分/年。</w:t>
            </w:r>
          </w:p>
        </w:tc>
      </w:tr>
      <w:tr w14:paraId="30B22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8B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4CDD3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总资产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6566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GSTZ-1-03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4A71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近一年度总资产出现大幅下滑。</w:t>
            </w:r>
          </w:p>
          <w:p w14:paraId="7D035113">
            <w:pPr>
              <w:pStyle w:val="2"/>
              <w:spacing w:after="0" w:line="260" w:lineRule="exact"/>
              <w:rPr>
                <w:rFonts w:ascii="Times New Roman" w:hAnsi="Times New Roman" w:eastAsia="宋体" w:cs="Times New Roman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（注：近一年度是指投资人审计财务报告出具前，为资料递交时间的上上一年度；投资人审计财务报告出具后，为资料递交时间的上一年度。下同。）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7A90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下滑比例在10%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（不含）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-20%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（含）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之间扣1分；下滑比例超过20%扣2分。</w:t>
            </w:r>
          </w:p>
        </w:tc>
      </w:tr>
      <w:tr w14:paraId="63A52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5F6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DDF1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净资产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8BBE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GSTZ-1-04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B7323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近一年度净资产出现大幅下滑。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B8D5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下滑比例在10%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（不含）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-20%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（含）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之间扣1分；下滑比例超过20%扣2分。</w:t>
            </w:r>
          </w:p>
        </w:tc>
      </w:tr>
      <w:tr w14:paraId="555E6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CC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5BFA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资产负债率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EC49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GSTZ-1-05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C894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近一年度资产负债率过高。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4CA5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85%＜资产负债率≤90%，扣2分；</w:t>
            </w:r>
          </w:p>
          <w:p w14:paraId="7589DEEC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90%＜资产负债率≤95%，扣4分；</w:t>
            </w:r>
          </w:p>
          <w:p w14:paraId="683D822F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95%＜资产负债率≤100%，扣6分；</w:t>
            </w:r>
          </w:p>
          <w:p w14:paraId="68037DA6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100%＜资产负债率，扣10分。</w:t>
            </w:r>
          </w:p>
        </w:tc>
      </w:tr>
      <w:tr w14:paraId="080B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C7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BF2D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营业收入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68343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GSTZ-1-06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66D5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连续三年营业收入下滑，且下滑比例均超过10%。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F10FB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下滑比例在10%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（不含）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-20%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（含）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之间扣1分；下滑比例超过20%扣2分。</w:t>
            </w:r>
          </w:p>
        </w:tc>
      </w:tr>
      <w:tr w14:paraId="7631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170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A62F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净利润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7055E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GSTZ-1-07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D5D2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近一年度净利润出现亏损。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DB78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净利润为负的，扣10分。</w:t>
            </w:r>
          </w:p>
        </w:tc>
      </w:tr>
      <w:tr w14:paraId="4ABA2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F2EE">
            <w:pPr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DCBAE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经营性净现金流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A2D26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GSTZ-1-08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7BA6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连续三年经营性净现金流为负。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19929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扣1分。</w:t>
            </w:r>
          </w:p>
        </w:tc>
      </w:tr>
      <w:tr w14:paraId="047E7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A1F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A867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现金流动负债比率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1C2F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GSTZ-1-09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5316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近一年度现金流动负债比率表现较差。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2427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指标值低于行业较差值的扣1分。</w:t>
            </w:r>
          </w:p>
          <w:p w14:paraId="0C89E6A6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行业较差值来源《企业绩效评价标准值》（建筑业）</w:t>
            </w:r>
          </w:p>
        </w:tc>
      </w:tr>
      <w:tr w14:paraId="6D5CD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91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7FC0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净资产收益率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21D3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GSTZ-1-10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5522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近一年度净资产收益率表现较差。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9B91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指标值低于行业较差值的扣1分。</w:t>
            </w:r>
          </w:p>
          <w:p w14:paraId="6F87C804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行业较差值来源《企业绩效评价标准值》（建筑业）</w:t>
            </w:r>
          </w:p>
        </w:tc>
      </w:tr>
      <w:tr w14:paraId="3369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D33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E03BF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总资产报酬率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D1D4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GSTZ-1-11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20F4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近一年度总资产报酬率表现较差。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9DE2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指标值低于行业较差值的扣1分。</w:t>
            </w:r>
          </w:p>
          <w:p w14:paraId="56E67D37">
            <w:pPr>
              <w:widowControl/>
              <w:snapToGrid w:val="0"/>
              <w:spacing w:line="2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行业较差值来源《企业绩效评价标准值》（建筑业）</w:t>
            </w:r>
          </w:p>
        </w:tc>
      </w:tr>
      <w:tr w14:paraId="2C227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34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C551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速动比率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2F2C"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GSTZ-1-12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515B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近一年度速动比率表现较差。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963FE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指标值低于行业较差值的扣1分。</w:t>
            </w:r>
          </w:p>
          <w:p w14:paraId="0FC0A903">
            <w:pPr>
              <w:widowControl/>
              <w:snapToGrid w:val="0"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行业较差值来源《企业绩效评价标准值》（建筑业）</w:t>
            </w:r>
          </w:p>
        </w:tc>
      </w:tr>
      <w:tr w14:paraId="124DA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D23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公共信用记录</w:t>
            </w:r>
          </w:p>
          <w:p w14:paraId="36D3AE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（满分50分，扣完为止）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388D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税务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领域</w:t>
            </w:r>
          </w:p>
          <w:p w14:paraId="54BDB6BE">
            <w:pPr>
              <w:pStyle w:val="2"/>
              <w:widowControl/>
              <w:snapToGrid w:val="0"/>
              <w:spacing w:after="0" w:line="260" w:lineRule="atLeast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（满分10分，扣完为止）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4073B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GSTZ-1-13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095A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查询到投资人近三年在税务领域存在行政处罚记录。</w:t>
            </w:r>
          </w:p>
          <w:p w14:paraId="2E33D31B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（信息来源：信用中国、税务主管部门门户网站）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74BE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罚款金额未超过0.2万元的，扣0.5分/条；罚款金额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超过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0.2万元但未超过1万元的，扣1分/条；罚款金额超过1万元的，扣2分/条。</w:t>
            </w:r>
          </w:p>
        </w:tc>
      </w:tr>
      <w:tr w14:paraId="2382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64B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97636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建设领域</w:t>
            </w:r>
          </w:p>
          <w:p w14:paraId="3CEC1042">
            <w:pPr>
              <w:pStyle w:val="2"/>
              <w:widowControl/>
              <w:snapToGrid w:val="0"/>
              <w:spacing w:line="26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（满分10分，扣完为止）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4B160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GSTZ-1-15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106A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查询到投资人近三年在建设领域存在行政处罚记录。</w:t>
            </w:r>
          </w:p>
          <w:p w14:paraId="07EA2818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（信息来源：信用交通、全国公路建设市场监督管理系统、全国建筑市场监管公共服务平台、全国水利建设市场信用信息平台、各地建设主管部门门户网站）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ED64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罚款金额未超过2万元的，扣0.5分/条；罚款金额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超过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2万元但未超过5万元的，扣1分/条；罚款金额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超过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5万元的扣2分/条。</w:t>
            </w:r>
          </w:p>
        </w:tc>
      </w:tr>
      <w:tr w14:paraId="49CED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FD7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EB4AE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环保领域</w:t>
            </w:r>
          </w:p>
          <w:p w14:paraId="2D586C6D">
            <w:pPr>
              <w:pStyle w:val="2"/>
              <w:widowControl/>
              <w:snapToGrid w:val="0"/>
              <w:spacing w:line="26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（满分10分，扣完为止）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21E2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GSTZ-1-16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D75E4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查询到投资人近三年在环保领域存在行政处罚记录。</w:t>
            </w:r>
          </w:p>
          <w:p w14:paraId="6FE8213E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（信息来源：信用中国、国家企业信用信息公示系统、各地生态环境部门门户网站）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4AAC2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罚款金额未超过2万元的，扣0.5分/条；罚款金额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超过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2万元但未超过5万元的，扣1分/条；罚款金额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超过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5万元的扣2分/条。</w:t>
            </w:r>
          </w:p>
        </w:tc>
      </w:tr>
      <w:tr w14:paraId="7969B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F79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51215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金融领域</w:t>
            </w:r>
          </w:p>
          <w:p w14:paraId="7A906EC7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（满分5分，扣完为止）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987F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GSTZ-1-14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ADBC">
            <w:pPr>
              <w:widowControl/>
              <w:snapToGrid w:val="0"/>
              <w:spacing w:line="260" w:lineRule="atLeas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查询到投资人近三年在金融领域存在行政处罚记录。</w:t>
            </w:r>
          </w:p>
          <w:p w14:paraId="618F44FE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（信息来源：国家金融监督管理总局、国家发展改革委、中国人民银行、中国银行间市场交易商协会、中国证券监督管理委员会等门户网站）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6B2C4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罚款金额未超过30万元的，扣0.5分/条；罚款金额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超过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30万元但未超过100万元的，扣1分/条；罚款金额超过100万元的，扣2分/条。</w:t>
            </w:r>
          </w:p>
        </w:tc>
      </w:tr>
      <w:tr w14:paraId="4C8B9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2F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06381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司法领域</w:t>
            </w:r>
          </w:p>
          <w:p w14:paraId="011D6244">
            <w:pPr>
              <w:pStyle w:val="2"/>
              <w:widowControl/>
              <w:snapToGrid w:val="0"/>
              <w:spacing w:line="26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（满分10分，扣完为止）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7F71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GSTZ-1-17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4373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查询到投资人近三年在司法领域存在被人民法院强制执行记录。</w:t>
            </w:r>
          </w:p>
          <w:p w14:paraId="2A961811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（信息来源：中国裁判文书网、中国执行信息公开网等）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D5E36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执行标的未超过100万元的扣0.5分/次，超过100万元的扣1分/次。</w:t>
            </w:r>
          </w:p>
          <w:p w14:paraId="665AEA0D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投资人在执行期间主动履行义务的，不作扣分。</w:t>
            </w:r>
          </w:p>
        </w:tc>
      </w:tr>
      <w:tr w14:paraId="28A56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650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CF23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其他领域</w:t>
            </w:r>
          </w:p>
          <w:p w14:paraId="26546385">
            <w:pPr>
              <w:pStyle w:val="2"/>
              <w:widowControl/>
              <w:snapToGrid w:val="0"/>
              <w:spacing w:line="260" w:lineRule="atLeas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（满分5分，扣完为止）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9B2FA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GSTZ-1-18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C9C61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查询到投资人近三年在交通、财政、人社、自然资源、住建、水利、商务等其他领域存在行政处罚记录。</w:t>
            </w:r>
          </w:p>
          <w:p w14:paraId="79802505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（信息来源：各领域政府职能部门门户网站）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FC91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罚款金额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未超过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2万元的，扣0.5分/条；罚款金额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超过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2万元且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未超过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5万元的，扣1分/条；罚款金额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超过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5万元的扣 2分/条。</w:t>
            </w:r>
          </w:p>
        </w:tc>
      </w:tr>
      <w:tr w14:paraId="6D5AD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88F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加分项</w:t>
            </w:r>
          </w:p>
          <w:p w14:paraId="42F9E2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（累计不超过4分）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9AEC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项目经验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C001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GSTZ-1-19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63549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具备收费公路项目的相关经验。</w:t>
            </w:r>
          </w:p>
        </w:tc>
        <w:tc>
          <w:tcPr>
            <w:tcW w:w="4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A99D1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从事过1-3项该类项目的，加1分；从事过4项及以上该类项目的，加2分。</w:t>
            </w:r>
          </w:p>
        </w:tc>
      </w:tr>
      <w:tr w14:paraId="21540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09D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67FE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财务优良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716D">
            <w:pPr>
              <w:widowControl/>
              <w:snapToGrid w:val="0"/>
              <w:spacing w:line="260" w:lineRule="atLeas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GSTZ-1-20</w:t>
            </w:r>
          </w:p>
        </w:tc>
        <w:tc>
          <w:tcPr>
            <w:tcW w:w="4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0D79B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近三年，总资产、营业收入、净利润均呈现持续上升趋势，且最近年度三项指标上涨幅度均超过10%，最近年度经营性现金流为正。</w:t>
            </w:r>
          </w:p>
        </w:tc>
        <w:tc>
          <w:tcPr>
            <w:tcW w:w="4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EA73">
            <w:pPr>
              <w:widowControl/>
              <w:snapToGrid w:val="0"/>
              <w:spacing w:line="260" w:lineRule="atLeast"/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增幅在10%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（不含）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-20%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（含）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之间，加1分；增幅超过20%，加2分。</w:t>
            </w:r>
          </w:p>
        </w:tc>
      </w:tr>
    </w:tbl>
    <w:p w14:paraId="2263CF13">
      <w:pPr>
        <w:pStyle w:val="2"/>
        <w:spacing w:after="0" w:line="260" w:lineRule="exact"/>
        <w:ind w:left="798" w:hanging="798" w:hangingChars="399"/>
        <w:jc w:val="left"/>
        <w:rPr>
          <w:rFonts w:ascii="Times New Roman" w:hAnsi="Times New Roman" w:eastAsia="宋体" w:cs="Times New Roman"/>
          <w:kern w:val="0"/>
          <w:sz w:val="20"/>
          <w:szCs w:val="20"/>
          <w:lang w:bidi="ar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bidi="ar"/>
        </w:rPr>
        <w:t>备注：1.每项信用评价记录均应附上依据。当因同一事件就标准中同一具体失信行为进行扣分时，按“就高不就低”原则执行，不重复扣分；</w:t>
      </w:r>
    </w:p>
    <w:p w14:paraId="4875DAA4">
      <w:pPr>
        <w:pStyle w:val="2"/>
        <w:spacing w:after="0" w:line="260" w:lineRule="exact"/>
        <w:ind w:left="797" w:leftChars="293" w:hanging="182" w:hangingChars="91"/>
        <w:jc w:val="left"/>
        <w:rPr>
          <w:rFonts w:ascii="Times New Roman" w:hAnsi="Times New Roman" w:eastAsia="宋体" w:cs="Times New Roman"/>
          <w:kern w:val="0"/>
          <w:sz w:val="20"/>
          <w:szCs w:val="20"/>
          <w:lang w:bidi="ar"/>
        </w:rPr>
      </w:pPr>
      <w:r>
        <w:rPr>
          <w:rFonts w:ascii="Times New Roman" w:hAnsi="Times New Roman" w:eastAsia="宋体" w:cs="Times New Roman"/>
          <w:kern w:val="0"/>
          <w:sz w:val="20"/>
          <w:szCs w:val="20"/>
          <w:lang w:bidi="ar"/>
        </w:rPr>
        <w:t>2.投资人因改制、重组、分设、合并等原因无法提供连续三年年度财务审计报告、所得税纳税记录表和增值税纳税记录表的，按照新成立后的实际年份提供外，并提供原单位的年度财务审计报告、所得税纳税记录表和增值税纳税记录表，以保证满足三年年度财务审计报告、所得税纳税记录表和增值税纳税记录表的要求。</w:t>
      </w:r>
    </w:p>
    <w:p w14:paraId="16847F3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0462B"/>
    <w:rsid w:val="4F20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uppressAutoHyphens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2025-12-29T09:20:00Z</dcterms:created>
  <dc:creator>之一</dc:creator>
  <cp:lastModifiedBy>之一</cp:lastModifiedBy>
  <dcterms:modified xsi:type="dcterms:W3CDTF">2025-12-29T09:23:03Z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039AA2E9E5204B6A8D70E531E7E64A2E_11</vt:lpwstr>
  </property>
  <property fmtid="{D5CDD505-2E9C-101B-9397-08002B2CF9AE}" pid="4" name="KSOTemplateDocerSaveRecord">
    <vt:lpwstr>eyJoZGlkIjoiYTIwNGFmYWEyMmY5NDk3YTZjZWRhMzYzNTYzNzFhYzEiLCJ1c2VySWQiOiI4MjM2MTM3NjkifQ==</vt:lpwstr>
  </property>
</Properties>
</file>