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2F188">
      <w:pPr>
        <w:pStyle w:val="3"/>
        <w:bidi w:val="0"/>
      </w:pPr>
      <w:bookmarkStart w:id="0" w:name="_Toc15306267"/>
    </w:p>
    <w:p w14:paraId="12B651DF">
      <w:pPr>
        <w:spacing w:line="600" w:lineRule="exact"/>
        <w:jc w:val="center"/>
        <w:outlineLvl w:val="0"/>
        <w:rPr>
          <w:rFonts w:ascii="方正小标宋简体" w:hAnsi="宋体" w:eastAsia="方正小标宋简体"/>
          <w:color w:val="000000"/>
          <w:sz w:val="72"/>
          <w:szCs w:val="72"/>
        </w:rPr>
      </w:pPr>
    </w:p>
    <w:p w14:paraId="33F0F3AF">
      <w:pPr>
        <w:spacing w:line="600" w:lineRule="exact"/>
        <w:jc w:val="center"/>
        <w:outlineLvl w:val="0"/>
        <w:rPr>
          <w:rFonts w:ascii="方正小标宋简体" w:hAnsi="宋体" w:eastAsia="方正小标宋简体"/>
          <w:color w:val="000000"/>
          <w:sz w:val="72"/>
          <w:szCs w:val="72"/>
        </w:rPr>
      </w:pPr>
    </w:p>
    <w:p w14:paraId="18D2D311">
      <w:pPr>
        <w:spacing w:line="600" w:lineRule="exact"/>
        <w:jc w:val="center"/>
        <w:outlineLvl w:val="0"/>
        <w:rPr>
          <w:rFonts w:ascii="方正小标宋简体" w:hAnsi="宋体" w:eastAsia="方正小标宋简体"/>
          <w:color w:val="000000"/>
          <w:sz w:val="72"/>
          <w:szCs w:val="72"/>
        </w:rPr>
      </w:pPr>
    </w:p>
    <w:bookmarkEnd w:id="0"/>
    <w:p w14:paraId="5176FCCA">
      <w:pPr>
        <w:adjustRightInd w:val="0"/>
        <w:snapToGrid w:val="0"/>
        <w:spacing w:line="360" w:lineRule="auto"/>
        <w:jc w:val="center"/>
        <w:outlineLvl w:val="0"/>
        <w:rPr>
          <w:rFonts w:ascii="方正小标宋简体" w:hAnsi="宋体" w:eastAsia="方正小标宋简体"/>
          <w:sz w:val="72"/>
          <w:szCs w:val="72"/>
        </w:rPr>
      </w:pPr>
      <w:bookmarkStart w:id="1" w:name="_Toc15378441"/>
      <w:bookmarkStart w:id="2" w:name="_Toc15377425"/>
      <w:bookmarkStart w:id="3" w:name="_Toc15396597"/>
      <w:bookmarkStart w:id="4" w:name="_Toc15396475"/>
      <w:bookmarkStart w:id="5" w:name="_Toc15377193"/>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p>
    <w:p w14:paraId="5478BFCC">
      <w:pPr>
        <w:adjustRightInd w:val="0"/>
        <w:snapToGrid w:val="0"/>
        <w:spacing w:line="360" w:lineRule="auto"/>
        <w:jc w:val="center"/>
        <w:outlineLvl w:val="0"/>
        <w:rPr>
          <w:rFonts w:ascii="方正小标宋简体" w:hAnsi="宋体" w:eastAsia="方正小标宋简体"/>
          <w:sz w:val="72"/>
          <w:szCs w:val="72"/>
        </w:rPr>
      </w:pPr>
      <w:bookmarkStart w:id="6" w:name="_Toc15396598"/>
      <w:bookmarkStart w:id="7" w:name="_Toc15378442"/>
      <w:bookmarkStart w:id="8" w:name="_Toc15396476"/>
      <w:bookmarkStart w:id="9" w:name="_Toc15377194"/>
      <w:bookmarkStart w:id="10" w:name="_Toc15377426"/>
      <w:r>
        <w:rPr>
          <w:rFonts w:hint="eastAsia" w:ascii="方正小标宋简体" w:hAnsi="宋体" w:eastAsia="方正小标宋简体"/>
          <w:sz w:val="72"/>
          <w:szCs w:val="72"/>
        </w:rPr>
        <w:t>四川省</w:t>
      </w:r>
      <w:bookmarkStart w:id="11" w:name="_Toc15306268"/>
      <w:r>
        <w:rPr>
          <w:rFonts w:hint="eastAsia" w:ascii="方正小标宋简体" w:hAnsi="宋体" w:eastAsia="方正小标宋简体"/>
          <w:sz w:val="72"/>
          <w:szCs w:val="72"/>
        </w:rPr>
        <w:t>交通运输厅高速公路监控结算中心单位决算</w:t>
      </w:r>
      <w:bookmarkEnd w:id="6"/>
      <w:bookmarkEnd w:id="7"/>
      <w:bookmarkEnd w:id="8"/>
      <w:bookmarkEnd w:id="9"/>
      <w:bookmarkEnd w:id="10"/>
      <w:bookmarkEnd w:id="11"/>
    </w:p>
    <w:p w14:paraId="7574CBAA">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宋体" w:eastAsia="方正小标宋简体"/>
          <w:sz w:val="52"/>
          <w:szCs w:val="52"/>
        </w:rPr>
        <w:t>(单位公开)</w:t>
      </w:r>
    </w:p>
    <w:p w14:paraId="3A851EBC">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FDABD7C">
      <w:pPr>
        <w:widowControl/>
        <w:jc w:val="center"/>
        <w:rPr>
          <w:rFonts w:ascii="黑体" w:hAnsi="黑体" w:eastAsia="黑体" w:cstheme="minorBidi"/>
          <w:sz w:val="28"/>
          <w:szCs w:val="28"/>
        </w:rPr>
      </w:pPr>
    </w:p>
    <w:p w14:paraId="43D1C932">
      <w:pPr>
        <w:pStyle w:val="11"/>
      </w:pPr>
      <w:r>
        <w:rPr>
          <w:rFonts w:hint="eastAsia"/>
        </w:rPr>
        <w:t>公开时间：2021年9月10日</w:t>
      </w:r>
    </w:p>
    <w:p w14:paraId="2BF4ADB1"/>
    <w:p w14:paraId="42961AD4">
      <w:pPr>
        <w:pStyle w:val="11"/>
        <w:numPr>
          <w:ilvl w:val="0"/>
          <w:numId w:val="1"/>
        </w:numPr>
        <w:adjustRightInd w:val="0"/>
        <w:snapToGrid w:val="0"/>
        <w:spacing w:before="0" w:line="440" w:lineRule="exact"/>
        <w:jc w:val="left"/>
        <w:rPr>
          <w:sz w:val="24"/>
        </w:rPr>
      </w:pPr>
      <w:r>
        <w:rPr>
          <w:rFonts w:hint="eastAsia"/>
          <w:sz w:val="24"/>
        </w:rPr>
        <w:t>单位概况</w:t>
      </w:r>
      <w:r>
        <w:rPr>
          <w:sz w:val="24"/>
        </w:rPr>
        <w:t>．．．．．．．．．．．．．．．．．．．．．．．．．．．．．．．．．．．．．．．．．．．．．．．．4</w:t>
      </w:r>
    </w:p>
    <w:p w14:paraId="14763317">
      <w:pPr>
        <w:pStyle w:val="12"/>
        <w:numPr>
          <w:ilvl w:val="0"/>
          <w:numId w:val="2"/>
        </w:numPr>
        <w:adjustRightInd w:val="0"/>
        <w:snapToGrid w:val="0"/>
        <w:spacing w:line="440" w:lineRule="exact"/>
        <w:jc w:val="left"/>
      </w:pPr>
      <w:r>
        <w:rPr>
          <w:rFonts w:hint="eastAsia"/>
          <w:b w:val="0"/>
          <w:bCs w:val="0"/>
          <w:sz w:val="24"/>
        </w:rPr>
        <w:t>职能简介</w:t>
      </w:r>
      <w:r>
        <w:rPr>
          <w:b w:val="0"/>
          <w:bCs w:val="0"/>
          <w:sz w:val="24"/>
        </w:rPr>
        <w:t>．．．．．．．．．．．．．．．．．．．．．．．．．．．．．．．．．．．．．．．．．．．．．．．．．4</w:t>
      </w:r>
    </w:p>
    <w:p w14:paraId="1925B903">
      <w:pPr>
        <w:pStyle w:val="12"/>
        <w:numPr>
          <w:ilvl w:val="0"/>
          <w:numId w:val="2"/>
        </w:numPr>
        <w:adjustRightInd w:val="0"/>
        <w:snapToGrid w:val="0"/>
        <w:spacing w:line="440" w:lineRule="exact"/>
        <w:jc w:val="left"/>
      </w:pPr>
      <w:r>
        <w:rPr>
          <w:rFonts w:hint="eastAsia"/>
          <w:lang w:val="en-US" w:eastAsia="zh-CN"/>
        </w:rPr>
        <w:t xml:space="preserve"> 2020年</w:t>
      </w:r>
      <w:r>
        <w:rPr>
          <w:rFonts w:hint="eastAsia" w:asciiTheme="minorEastAsia" w:hAnsiTheme="minorEastAsia" w:eastAsiaTheme="minorEastAsia" w:cstheme="minorEastAsia"/>
          <w:b w:val="0"/>
          <w:bCs w:val="0"/>
          <w:sz w:val="24"/>
        </w:rPr>
        <w:t>重</w:t>
      </w:r>
      <w:r>
        <w:rPr>
          <w:rFonts w:hint="eastAsia" w:asciiTheme="minorEastAsia" w:hAnsiTheme="minorEastAsia" w:eastAsiaTheme="minorEastAsia" w:cstheme="minorEastAsia"/>
          <w:sz w:val="24"/>
        </w:rPr>
        <w:t>点工作完成情况</w:t>
      </w:r>
      <w:r>
        <w:rPr>
          <w:rFonts w:asciiTheme="minorEastAsia" w:hAnsiTheme="minorEastAsia" w:eastAsiaTheme="minorEastAsia" w:cstheme="minorEastAsia"/>
          <w:sz w:val="24"/>
        </w:rPr>
        <w:t>．．．．．．．．．．．．．．．．．．．．．．．．．．．．．．．．．．4</w:t>
      </w:r>
    </w:p>
    <w:p w14:paraId="74737635">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jc w:val="left"/>
        <w:textAlignment w:val="auto"/>
      </w:pPr>
      <w:r>
        <w:rPr>
          <w:rFonts w:hint="eastAsia"/>
          <w:lang w:val="en-US" w:eastAsia="zh-CN"/>
        </w:rPr>
        <w:t>机构设置情况</w:t>
      </w:r>
      <w:r>
        <w:rPr>
          <w:b w:val="0"/>
          <w:bCs w:val="0"/>
          <w:sz w:val="24"/>
        </w:rPr>
        <w:t>．．．．．．．．．．．．．．．．．．．．．．．．．．．．．．．．．．．．．．．．．．．．．．．</w:t>
      </w:r>
      <w:r>
        <w:rPr>
          <w:rFonts w:hint="eastAsia"/>
          <w:b w:val="0"/>
          <w:bCs w:val="0"/>
          <w:sz w:val="24"/>
          <w:lang w:val="en-US" w:eastAsia="zh-CN"/>
        </w:rPr>
        <w:t>6</w:t>
      </w:r>
    </w:p>
    <w:p w14:paraId="6263D010">
      <w:pPr>
        <w:keepNext w:val="0"/>
        <w:keepLines w:val="0"/>
        <w:pageBreakBefore w:val="0"/>
        <w:widowControl w:val="0"/>
        <w:kinsoku/>
        <w:wordWrap/>
        <w:overflowPunct/>
        <w:topLinePunct w:val="0"/>
        <w:autoSpaceDE/>
        <w:autoSpaceDN/>
        <w:bidi w:val="0"/>
        <w:spacing w:line="440" w:lineRule="exact"/>
        <w:textAlignment w:val="auto"/>
        <w:rPr>
          <w:sz w:val="24"/>
          <w:szCs w:val="24"/>
        </w:rPr>
      </w:pPr>
      <w:r>
        <w:rPr>
          <w:rFonts w:hint="eastAsia" w:ascii="仿宋" w:hAnsi="仿宋" w:eastAsia="仿宋" w:cs="Times New Roman"/>
          <w:kern w:val="2"/>
          <w:sz w:val="24"/>
          <w:szCs w:val="28"/>
          <w:lang w:val="en-US" w:eastAsia="zh-CN" w:bidi="ar-SA"/>
        </w:rPr>
        <w:t>第二部分 2020年度单位决算情况说明</w:t>
      </w:r>
      <w:r>
        <w:rPr>
          <w:sz w:val="24"/>
        </w:rPr>
        <w:t>．．．．．．．．．．．．．．．．．．．．．．．．．．．．．．．7</w:t>
      </w:r>
    </w:p>
    <w:p w14:paraId="203B3BF8">
      <w:pPr>
        <w:pStyle w:val="12"/>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theme="minorBidi"/>
          <w:sz w:val="24"/>
        </w:rPr>
      </w:pPr>
      <w:r>
        <w:rPr>
          <w:rFonts w:hint="eastAsia"/>
          <w:sz w:val="24"/>
        </w:rPr>
        <w:t>一、收入支出决算总体情况说明．．．．．．．．．．．．．．．．．．．．．．．．．．．．．．．．．7</w:t>
      </w:r>
    </w:p>
    <w:p w14:paraId="14825358">
      <w:pPr>
        <w:pStyle w:val="12"/>
        <w:adjustRightInd w:val="0"/>
        <w:snapToGrid w:val="0"/>
        <w:spacing w:line="440" w:lineRule="exact"/>
        <w:jc w:val="left"/>
        <w:rPr>
          <w:rFonts w:ascii="仿宋" w:hAnsi="仿宋" w:eastAsia="仿宋" w:cstheme="minorBidi"/>
          <w:sz w:val="24"/>
        </w:rPr>
      </w:pPr>
      <w:r>
        <w:rPr>
          <w:rFonts w:hint="eastAsia"/>
          <w:sz w:val="24"/>
        </w:rPr>
        <w:t>二、收入决算情况说明．．．．．．．．．．．．．．．．．．．．．．．．．．．．．．．．．．．．．．．．．7</w:t>
      </w:r>
    </w:p>
    <w:p w14:paraId="1B81CA7E">
      <w:pPr>
        <w:pStyle w:val="12"/>
        <w:adjustRightInd w:val="0"/>
        <w:snapToGrid w:val="0"/>
        <w:spacing w:line="440" w:lineRule="exact"/>
        <w:jc w:val="left"/>
        <w:rPr>
          <w:rFonts w:ascii="仿宋" w:hAnsi="仿宋" w:eastAsia="仿宋" w:cstheme="minorBidi"/>
          <w:sz w:val="24"/>
        </w:rPr>
      </w:pPr>
      <w:r>
        <w:rPr>
          <w:rFonts w:hint="eastAsia"/>
          <w:sz w:val="24"/>
        </w:rPr>
        <w:t>三、支出决算情况说明．．．．．．．．．．．．．．．．．．．．．．．．．．．．．．．．．．．．．．．．．8</w:t>
      </w:r>
    </w:p>
    <w:p w14:paraId="4249AD8E">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四、财政拨款收入支出决算总体情况说明．．．．．．．．．．．．．．．．．．．．．．．．．8</w:t>
      </w:r>
    </w:p>
    <w:p w14:paraId="01DEEFD3">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五、一般公共预算财政拨款支出决算情况说明．．．．．．．．．．．．．．．．．．．．．9</w:t>
      </w:r>
    </w:p>
    <w:p w14:paraId="6C77D014">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六、一般公共预算财政拨款基本支出决算情况说明．．．．．．．．．．．．．．．．．1</w:t>
      </w:r>
      <w:r>
        <w:rPr>
          <w:sz w:val="24"/>
        </w:rPr>
        <w:t>2</w:t>
      </w:r>
    </w:p>
    <w:p w14:paraId="32B73D40">
      <w:pPr>
        <w:pStyle w:val="12"/>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三公”经费财政拨款支出决算情况说明．．．．．．．．．．．．．．．．．．．．．．1</w:t>
      </w:r>
      <w:r>
        <w:rPr>
          <w:sz w:val="24"/>
        </w:rPr>
        <w:t>3</w:t>
      </w:r>
    </w:p>
    <w:p w14:paraId="4518EF29">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八、政府性基金预算支出决算情况说明．．．．．．．．．．．．．．．．．．．．．．．．．．．1</w:t>
      </w:r>
      <w:r>
        <w:rPr>
          <w:sz w:val="24"/>
        </w:rPr>
        <w:t>3</w:t>
      </w:r>
    </w:p>
    <w:p w14:paraId="4C843E80">
      <w:pPr>
        <w:pStyle w:val="12"/>
        <w:adjustRightInd w:val="0"/>
        <w:snapToGrid w:val="0"/>
        <w:spacing w:line="440" w:lineRule="exact"/>
        <w:jc w:val="left"/>
        <w:rPr>
          <w:sz w:val="24"/>
        </w:rPr>
      </w:pPr>
      <w:r>
        <w:rPr>
          <w:rFonts w:hint="eastAsia"/>
          <w:sz w:val="24"/>
        </w:rPr>
        <w:t>九、国有资本经营预算支出决算情况说明．．．．．．．．．．．．．．．．．．．．．．．．．1</w:t>
      </w:r>
      <w:r>
        <w:rPr>
          <w:sz w:val="24"/>
        </w:rPr>
        <w:t>4</w:t>
      </w:r>
    </w:p>
    <w:p w14:paraId="300D0B69">
      <w:pPr>
        <w:pStyle w:val="12"/>
        <w:adjustRightInd w:val="0"/>
        <w:snapToGrid w:val="0"/>
        <w:spacing w:line="440" w:lineRule="exact"/>
        <w:jc w:val="left"/>
        <w:rPr>
          <w:sz w:val="24"/>
        </w:rPr>
      </w:pPr>
      <w:r>
        <w:rPr>
          <w:rFonts w:hint="eastAsia"/>
          <w:sz w:val="24"/>
        </w:rPr>
        <w:t>十、其他重要事项的情况说明．．．．．．．．．．．．．．．．．．．．．．．．．．．．．．．．．．．1</w:t>
      </w:r>
      <w:r>
        <w:rPr>
          <w:sz w:val="24"/>
        </w:rPr>
        <w:t>4</w:t>
      </w:r>
    </w:p>
    <w:p w14:paraId="0F426266">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sz w:val="24"/>
        </w:rPr>
        <w:t>18</w:t>
      </w:r>
    </w:p>
    <w:p w14:paraId="789F056E">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sz w:val="24"/>
        </w:rPr>
        <w:t>21</w:t>
      </w:r>
    </w:p>
    <w:p w14:paraId="597B0F02">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附表．．．．．．．．．．．．．．．．．．．．．．．．．．．．．．．．．．．．．．．．．．．．．．．．．．．2</w:t>
      </w:r>
      <w:r>
        <w:rPr>
          <w:sz w:val="24"/>
        </w:rPr>
        <w:t>8</w:t>
      </w:r>
    </w:p>
    <w:p w14:paraId="7BCDFE54">
      <w:pPr>
        <w:pStyle w:val="12"/>
        <w:adjustRightInd w:val="0"/>
        <w:snapToGrid w:val="0"/>
        <w:spacing w:line="440" w:lineRule="exact"/>
        <w:jc w:val="left"/>
        <w:rPr>
          <w:sz w:val="24"/>
        </w:rPr>
      </w:pPr>
      <w:r>
        <w:rPr>
          <w:rFonts w:hint="eastAsia"/>
          <w:sz w:val="24"/>
        </w:rPr>
        <w:t>一、收入支出决算总表．．．．．．．．．．．．．．．．．．．．．．．．．．．．．．．．．．．．．．．．.2</w:t>
      </w:r>
      <w:r>
        <w:rPr>
          <w:sz w:val="24"/>
        </w:rPr>
        <w:t>8</w:t>
      </w:r>
    </w:p>
    <w:p w14:paraId="028AC75E">
      <w:pPr>
        <w:pStyle w:val="12"/>
        <w:adjustRightInd w:val="0"/>
        <w:snapToGrid w:val="0"/>
        <w:spacing w:line="440" w:lineRule="exact"/>
        <w:jc w:val="left"/>
        <w:rPr>
          <w:sz w:val="24"/>
        </w:rPr>
      </w:pPr>
      <w:r>
        <w:rPr>
          <w:rFonts w:hint="eastAsia"/>
          <w:sz w:val="24"/>
        </w:rPr>
        <w:t>二、收入决算表．．．．．．．．．．．．．．．．．．．．．．．．．．．．．．．．．．．．．．．．．．．．．．.2</w:t>
      </w:r>
      <w:r>
        <w:rPr>
          <w:sz w:val="24"/>
        </w:rPr>
        <w:t>8</w:t>
      </w:r>
    </w:p>
    <w:p w14:paraId="63EE7513">
      <w:pPr>
        <w:pStyle w:val="12"/>
        <w:adjustRightInd w:val="0"/>
        <w:snapToGrid w:val="0"/>
        <w:spacing w:line="440" w:lineRule="exact"/>
        <w:jc w:val="left"/>
        <w:rPr>
          <w:sz w:val="24"/>
        </w:rPr>
      </w:pPr>
      <w:r>
        <w:rPr>
          <w:rFonts w:hint="eastAsia"/>
          <w:sz w:val="24"/>
        </w:rPr>
        <w:t>三、支出决算表．．．．．．．．．．．．．．．．．．．．．．．．．．．．．．．．．．．．．．．．．．．．．．．2</w:t>
      </w:r>
      <w:r>
        <w:rPr>
          <w:sz w:val="24"/>
        </w:rPr>
        <w:t>8</w:t>
      </w:r>
    </w:p>
    <w:p w14:paraId="46D893C7">
      <w:pPr>
        <w:pStyle w:val="12"/>
        <w:adjustRightInd w:val="0"/>
        <w:snapToGrid w:val="0"/>
        <w:spacing w:line="440" w:lineRule="exact"/>
        <w:jc w:val="left"/>
        <w:rPr>
          <w:sz w:val="24"/>
        </w:rPr>
      </w:pPr>
      <w:r>
        <w:rPr>
          <w:rFonts w:hint="eastAsia"/>
          <w:sz w:val="24"/>
        </w:rPr>
        <w:t>四、财政拨款收入支出决算总表．．．．．．．．．．．．．．．．．．．．．．．．．．．．．．．．．2</w:t>
      </w:r>
      <w:r>
        <w:rPr>
          <w:sz w:val="24"/>
        </w:rPr>
        <w:t>8</w:t>
      </w:r>
    </w:p>
    <w:p w14:paraId="4486202D">
      <w:pPr>
        <w:pStyle w:val="12"/>
        <w:adjustRightInd w:val="0"/>
        <w:snapToGrid w:val="0"/>
        <w:spacing w:line="440" w:lineRule="exact"/>
        <w:jc w:val="left"/>
        <w:rPr>
          <w:sz w:val="24"/>
        </w:rPr>
      </w:pPr>
      <w:r>
        <w:rPr>
          <w:rFonts w:hint="eastAsia"/>
          <w:sz w:val="24"/>
        </w:rPr>
        <w:t>五、财政拨款支出决算明细表．．．．．．．．．．．．．．．．．．．．．．．．．．．．．．．．．．．2</w:t>
      </w:r>
      <w:r>
        <w:rPr>
          <w:sz w:val="24"/>
        </w:rPr>
        <w:t>8</w:t>
      </w:r>
    </w:p>
    <w:p w14:paraId="740360E5">
      <w:pPr>
        <w:pStyle w:val="12"/>
        <w:adjustRightInd w:val="0"/>
        <w:snapToGrid w:val="0"/>
        <w:spacing w:line="440" w:lineRule="exact"/>
        <w:jc w:val="left"/>
        <w:rPr>
          <w:sz w:val="24"/>
        </w:rPr>
      </w:pPr>
      <w:r>
        <w:rPr>
          <w:rFonts w:hint="eastAsia"/>
          <w:sz w:val="24"/>
        </w:rPr>
        <w:t>六、一般公共预算财政拨款支出决算表．．．．．．．．．．．．．．．．．．．．．．．．．．．2</w:t>
      </w:r>
      <w:r>
        <w:rPr>
          <w:sz w:val="24"/>
        </w:rPr>
        <w:t>8</w:t>
      </w:r>
    </w:p>
    <w:p w14:paraId="2757C8F4">
      <w:pPr>
        <w:pStyle w:val="12"/>
        <w:adjustRightInd w:val="0"/>
        <w:snapToGrid w:val="0"/>
        <w:spacing w:line="440" w:lineRule="exact"/>
        <w:jc w:val="left"/>
        <w:rPr>
          <w:sz w:val="24"/>
        </w:rPr>
      </w:pPr>
      <w:r>
        <w:rPr>
          <w:rFonts w:hint="eastAsia"/>
          <w:sz w:val="24"/>
        </w:rPr>
        <w:t>七、一般公共预算财政拨款支出决算明细表．．．．．．．．．．．．．．．．．．．．．．．2</w:t>
      </w:r>
      <w:r>
        <w:rPr>
          <w:sz w:val="24"/>
        </w:rPr>
        <w:t>8</w:t>
      </w:r>
    </w:p>
    <w:p w14:paraId="3027DCAE">
      <w:pPr>
        <w:pStyle w:val="12"/>
        <w:adjustRightInd w:val="0"/>
        <w:snapToGrid w:val="0"/>
        <w:spacing w:line="440" w:lineRule="exact"/>
        <w:jc w:val="left"/>
        <w:rPr>
          <w:sz w:val="24"/>
        </w:rPr>
      </w:pPr>
      <w:r>
        <w:rPr>
          <w:rFonts w:hint="eastAsia"/>
          <w:sz w:val="24"/>
        </w:rPr>
        <w:t>八、一般公共预算财政拨款基本支出决算表．．．．．．．．．．．．．．．．．．．．．．．2</w:t>
      </w:r>
      <w:r>
        <w:rPr>
          <w:sz w:val="24"/>
        </w:rPr>
        <w:t>8</w:t>
      </w:r>
    </w:p>
    <w:p w14:paraId="7036D1F0">
      <w:pPr>
        <w:pStyle w:val="12"/>
        <w:adjustRightInd w:val="0"/>
        <w:snapToGrid w:val="0"/>
        <w:spacing w:line="440" w:lineRule="exact"/>
        <w:jc w:val="left"/>
        <w:rPr>
          <w:sz w:val="24"/>
        </w:rPr>
      </w:pPr>
      <w:r>
        <w:rPr>
          <w:rFonts w:hint="eastAsia"/>
          <w:sz w:val="24"/>
        </w:rPr>
        <w:t>九、一般公共预算财政拨款项目支出决算表．．．．．．．．．．．．．．．．．．．．．．．2</w:t>
      </w:r>
      <w:r>
        <w:rPr>
          <w:sz w:val="24"/>
        </w:rPr>
        <w:t>8</w:t>
      </w:r>
    </w:p>
    <w:p w14:paraId="04150DF2">
      <w:pPr>
        <w:pStyle w:val="12"/>
        <w:adjustRightInd w:val="0"/>
        <w:snapToGrid w:val="0"/>
        <w:spacing w:line="440" w:lineRule="exact"/>
        <w:jc w:val="left"/>
        <w:rPr>
          <w:sz w:val="24"/>
        </w:rPr>
      </w:pPr>
      <w:r>
        <w:rPr>
          <w:rFonts w:hint="eastAsia"/>
          <w:sz w:val="24"/>
        </w:rPr>
        <w:t>十、一般公共预算财政拨款“三公”经费支出决算表．．．．．．．．．．．．．．．．2</w:t>
      </w:r>
      <w:r>
        <w:rPr>
          <w:sz w:val="24"/>
        </w:rPr>
        <w:t>8</w:t>
      </w:r>
    </w:p>
    <w:p w14:paraId="6D952973">
      <w:pPr>
        <w:pStyle w:val="12"/>
        <w:adjustRightInd w:val="0"/>
        <w:snapToGrid w:val="0"/>
        <w:spacing w:line="440" w:lineRule="exact"/>
        <w:jc w:val="left"/>
        <w:rPr>
          <w:sz w:val="24"/>
        </w:rPr>
      </w:pPr>
      <w:r>
        <w:rPr>
          <w:rFonts w:hint="eastAsia"/>
          <w:sz w:val="24"/>
        </w:rPr>
        <w:t>十一、政府性基金预算财政拨款收入支出决算表．．．．．．．．．．．．．．．．．．．．2</w:t>
      </w:r>
      <w:r>
        <w:rPr>
          <w:sz w:val="24"/>
        </w:rPr>
        <w:t>8</w:t>
      </w:r>
    </w:p>
    <w:p w14:paraId="0A2CB543">
      <w:pPr>
        <w:pStyle w:val="12"/>
        <w:adjustRightInd w:val="0"/>
        <w:snapToGrid w:val="0"/>
        <w:spacing w:line="440" w:lineRule="exact"/>
        <w:jc w:val="left"/>
        <w:rPr>
          <w:sz w:val="24"/>
        </w:rPr>
      </w:pPr>
      <w:r>
        <w:rPr>
          <w:rFonts w:hint="eastAsia"/>
          <w:sz w:val="24"/>
        </w:rPr>
        <w:t>十二、政府性基金预算财政拨款“三公”经费支出决算表．．．．．．．．．．．．2</w:t>
      </w:r>
      <w:r>
        <w:rPr>
          <w:sz w:val="24"/>
        </w:rPr>
        <w:t>8</w:t>
      </w:r>
    </w:p>
    <w:p w14:paraId="4FFFA02A">
      <w:pPr>
        <w:pStyle w:val="12"/>
        <w:adjustRightInd w:val="0"/>
        <w:snapToGrid w:val="0"/>
        <w:spacing w:line="440" w:lineRule="exact"/>
        <w:jc w:val="left"/>
        <w:rPr>
          <w:sz w:val="24"/>
        </w:rPr>
      </w:pPr>
      <w:r>
        <w:rPr>
          <w:rFonts w:hint="eastAsia"/>
          <w:sz w:val="24"/>
        </w:rPr>
        <w:t>十三、国有资本经营预算财政拨款收入支出决算表．．．．．．．．．．．．．．．．．．2</w:t>
      </w:r>
      <w:r>
        <w:rPr>
          <w:sz w:val="24"/>
        </w:rPr>
        <w:t>8</w:t>
      </w:r>
    </w:p>
    <w:p w14:paraId="6E19B491">
      <w:pPr>
        <w:pStyle w:val="12"/>
        <w:adjustRightInd w:val="0"/>
        <w:snapToGrid w:val="0"/>
        <w:spacing w:line="440" w:lineRule="exact"/>
        <w:jc w:val="left"/>
        <w:rPr>
          <w:sz w:val="24"/>
        </w:rPr>
      </w:pPr>
      <w:r>
        <w:rPr>
          <w:rFonts w:hint="eastAsia"/>
          <w:sz w:val="24"/>
        </w:rPr>
        <w:t>十四、国有资本经营预算财政拨款支出决算表．．．．．．．．．．．．．．．．．．．．．．2</w:t>
      </w:r>
      <w:r>
        <w:rPr>
          <w:sz w:val="24"/>
        </w:rPr>
        <w:t>8</w:t>
      </w:r>
    </w:p>
    <w:p w14:paraId="2A73FBAA">
      <w:pPr>
        <w:widowControl/>
        <w:adjustRightInd w:val="0"/>
        <w:snapToGrid w:val="0"/>
        <w:spacing w:line="440" w:lineRule="exact"/>
        <w:ind w:firstLine="1320" w:firstLineChars="550"/>
        <w:jc w:val="left"/>
        <w:rPr>
          <w:rFonts w:ascii="仿宋" w:hAnsi="仿宋" w:eastAsia="仿宋"/>
          <w:sz w:val="24"/>
          <w:highlight w:val="yellow"/>
        </w:rPr>
      </w:pPr>
    </w:p>
    <w:p w14:paraId="02CA1DD3">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02B6BE61">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04F6B389">
      <w:pPr>
        <w:widowControl/>
        <w:jc w:val="left"/>
        <w:rPr>
          <w:rFonts w:ascii="黑体" w:eastAsia="黑体"/>
          <w:sz w:val="32"/>
          <w:szCs w:val="32"/>
        </w:rPr>
      </w:pPr>
    </w:p>
    <w:p w14:paraId="1FA0BE92">
      <w:pPr>
        <w:pStyle w:val="4"/>
        <w:numPr>
          <w:ilvl w:val="0"/>
          <w:numId w:val="3"/>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职能简介</w:t>
      </w:r>
    </w:p>
    <w:p w14:paraId="28859BB0">
      <w:pPr>
        <w:ind w:firstLine="640" w:firstLineChars="200"/>
        <w:rPr>
          <w:rFonts w:ascii="仿宋" w:hAnsi="仿宋" w:eastAsia="仿宋"/>
          <w:sz w:val="32"/>
          <w:szCs w:val="32"/>
        </w:rPr>
      </w:pPr>
      <w:r>
        <w:rPr>
          <w:rFonts w:hint="eastAsia" w:ascii="仿宋" w:hAnsi="仿宋" w:eastAsia="仿宋"/>
          <w:sz w:val="32"/>
          <w:szCs w:val="32"/>
        </w:rPr>
        <w:t>四川</w:t>
      </w:r>
      <w:r>
        <w:rPr>
          <w:rFonts w:ascii="仿宋" w:hAnsi="仿宋" w:eastAsia="仿宋"/>
          <w:sz w:val="32"/>
          <w:szCs w:val="32"/>
        </w:rPr>
        <w:t>省交通</w:t>
      </w:r>
      <w:r>
        <w:rPr>
          <w:rFonts w:hint="eastAsia" w:ascii="仿宋" w:hAnsi="仿宋" w:eastAsia="仿宋"/>
          <w:sz w:val="32"/>
          <w:szCs w:val="32"/>
        </w:rPr>
        <w:t>运输</w:t>
      </w:r>
      <w:r>
        <w:rPr>
          <w:rFonts w:ascii="仿宋" w:hAnsi="仿宋" w:eastAsia="仿宋"/>
          <w:sz w:val="32"/>
          <w:szCs w:val="32"/>
        </w:rPr>
        <w:t>厅高速公路监控结算中心</w:t>
      </w:r>
      <w:r>
        <w:rPr>
          <w:rFonts w:hint="eastAsia" w:ascii="仿宋" w:hAnsi="仿宋" w:eastAsia="仿宋"/>
          <w:sz w:val="32"/>
          <w:szCs w:val="32"/>
        </w:rPr>
        <w:t>负责</w:t>
      </w:r>
      <w:r>
        <w:rPr>
          <w:rFonts w:ascii="仿宋" w:hAnsi="仿宋" w:eastAsia="仿宋"/>
          <w:sz w:val="32"/>
          <w:szCs w:val="32"/>
        </w:rPr>
        <w:t>全省高速公路结算、发卡、监控、通讯的运行、维护和管理工作</w:t>
      </w:r>
      <w:r>
        <w:rPr>
          <w:rFonts w:hint="eastAsia" w:ascii="仿宋" w:hAnsi="仿宋" w:eastAsia="仿宋"/>
          <w:sz w:val="32"/>
          <w:szCs w:val="32"/>
        </w:rPr>
        <w:t>；</w:t>
      </w:r>
      <w:r>
        <w:rPr>
          <w:rFonts w:ascii="仿宋" w:hAnsi="仿宋" w:eastAsia="仿宋"/>
          <w:sz w:val="32"/>
          <w:szCs w:val="32"/>
        </w:rPr>
        <w:t>负责全省各高速公路联网收费通行费的拆分、结算、稽核和全省高速公路联网收费系统、通讯系统、监控系统、计算机网络系统的运行维护等工作。</w:t>
      </w:r>
    </w:p>
    <w:p w14:paraId="373790AA">
      <w:pPr>
        <w:pStyle w:val="4"/>
        <w:numPr>
          <w:ilvl w:val="0"/>
          <w:numId w:val="3"/>
        </w:numPr>
        <w:rPr>
          <w:rFonts w:ascii="黑体" w:hAnsi="黑体" w:eastAsia="黑体"/>
          <w:b w:val="0"/>
        </w:rPr>
      </w:pPr>
      <w:r>
        <w:rPr>
          <w:rFonts w:hint="eastAsia" w:ascii="黑体" w:hAnsi="黑体" w:eastAsia="黑体"/>
          <w:b w:val="0"/>
        </w:rPr>
        <w:t>2020年重点工作</w:t>
      </w:r>
      <w:bookmarkEnd w:id="14"/>
      <w:bookmarkEnd w:id="15"/>
      <w:r>
        <w:rPr>
          <w:rFonts w:hint="eastAsia" w:ascii="黑体" w:hAnsi="黑体" w:eastAsia="黑体"/>
          <w:b w:val="0"/>
        </w:rPr>
        <w:t>完成情况</w:t>
      </w:r>
    </w:p>
    <w:p w14:paraId="1AF879DA">
      <w:pPr>
        <w:spacing w:line="64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打赢取消省界站第十战役攻坚战。结合取站第十战役重点工作及“费显点亮”</w:t>
      </w:r>
      <w:r>
        <w:rPr>
          <w:rFonts w:hint="eastAsia" w:ascii="仿宋" w:hAnsi="仿宋" w:eastAsia="仿宋" w:cs="Calibri"/>
          <w:sz w:val="32"/>
          <w:szCs w:val="32"/>
        </w:rPr>
        <w:t>试点</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四川再次作为全国5个试点省之一，结算中心主动作为、先行先试，</w:t>
      </w:r>
      <w:r>
        <w:rPr>
          <w:rFonts w:hint="eastAsia" w:ascii="仿宋" w:hAnsi="仿宋" w:eastAsia="仿宋"/>
          <w:sz w:val="32"/>
          <w:szCs w:val="32"/>
        </w:rPr>
        <w:t>调动全路网技术力量，集中办公，高</w:t>
      </w:r>
      <w:r>
        <w:rPr>
          <w:rFonts w:hint="eastAsia" w:ascii="仿宋" w:hAnsi="仿宋" w:eastAsia="仿宋" w:cs="Calibri"/>
          <w:sz w:val="32"/>
          <w:szCs w:val="32"/>
        </w:rPr>
        <w:t>效处</w:t>
      </w:r>
      <w:r>
        <w:rPr>
          <w:rFonts w:hint="eastAsia" w:ascii="仿宋" w:hAnsi="仿宋" w:eastAsia="仿宋" w:cs="微软雅黑"/>
          <w:sz w:val="32"/>
          <w:szCs w:val="32"/>
        </w:rPr>
        <w:t>置</w:t>
      </w:r>
      <w:r>
        <w:rPr>
          <w:rFonts w:hint="eastAsia" w:ascii="仿宋" w:hAnsi="仿宋" w:eastAsia="仿宋" w:cs="Calibri"/>
          <w:sz w:val="32"/>
          <w:szCs w:val="32"/>
        </w:rPr>
        <w:t>，</w:t>
      </w:r>
      <w:r>
        <w:rPr>
          <w:rFonts w:hint="eastAsia" w:ascii="仿宋" w:hAnsi="仿宋" w:eastAsia="仿宋"/>
          <w:sz w:val="32"/>
          <w:szCs w:val="32"/>
        </w:rPr>
        <w:t>持续完善清分结算、车道门架、客</w:t>
      </w:r>
      <w:r>
        <w:rPr>
          <w:rFonts w:hint="eastAsia" w:ascii="仿宋" w:hAnsi="仿宋" w:eastAsia="仿宋" w:cs="Calibri"/>
          <w:sz w:val="32"/>
          <w:szCs w:val="32"/>
        </w:rPr>
        <w:t>户服务</w:t>
      </w:r>
      <w:r>
        <w:rPr>
          <w:rFonts w:hint="eastAsia" w:ascii="仿宋" w:hAnsi="仿宋" w:eastAsia="仿宋"/>
          <w:sz w:val="32"/>
          <w:szCs w:val="32"/>
        </w:rPr>
        <w:t>和舆情监测等。完成5</w:t>
      </w:r>
      <w:r>
        <w:rPr>
          <w:rFonts w:ascii="仿宋" w:hAnsi="仿宋" w:eastAsia="仿宋"/>
          <w:sz w:val="32"/>
          <w:szCs w:val="32"/>
        </w:rPr>
        <w:t>78个收费站</w:t>
      </w:r>
      <w:r>
        <w:rPr>
          <w:rFonts w:hint="eastAsia" w:ascii="仿宋" w:hAnsi="仿宋" w:eastAsia="仿宋"/>
          <w:sz w:val="32"/>
          <w:szCs w:val="32"/>
        </w:rPr>
        <w:t>、4</w:t>
      </w:r>
      <w:r>
        <w:rPr>
          <w:rFonts w:ascii="仿宋" w:hAnsi="仿宋" w:eastAsia="仿宋"/>
          <w:sz w:val="32"/>
          <w:szCs w:val="32"/>
        </w:rPr>
        <w:t>075条收费车道</w:t>
      </w:r>
      <w:r>
        <w:rPr>
          <w:rFonts w:hint="eastAsia" w:ascii="仿宋" w:hAnsi="仿宋" w:eastAsia="仿宋"/>
          <w:sz w:val="32"/>
          <w:szCs w:val="32"/>
        </w:rPr>
        <w:t>、1</w:t>
      </w:r>
      <w:r>
        <w:rPr>
          <w:rFonts w:ascii="仿宋" w:hAnsi="仿宋" w:eastAsia="仿宋"/>
          <w:sz w:val="32"/>
          <w:szCs w:val="32"/>
        </w:rPr>
        <w:t>483套门架系统升级</w:t>
      </w:r>
      <w:r>
        <w:rPr>
          <w:rFonts w:hint="eastAsia" w:ascii="仿宋" w:hAnsi="仿宋" w:eastAsia="仿宋"/>
          <w:sz w:val="32"/>
          <w:szCs w:val="32"/>
        </w:rPr>
        <w:t>；</w:t>
      </w:r>
      <w:r>
        <w:rPr>
          <w:rFonts w:ascii="仿宋" w:hAnsi="仿宋" w:eastAsia="仿宋"/>
          <w:sz w:val="32"/>
          <w:szCs w:val="32"/>
        </w:rPr>
        <w:t>完成</w:t>
      </w:r>
      <w:r>
        <w:rPr>
          <w:rFonts w:hint="eastAsia" w:ascii="仿宋" w:hAnsi="仿宋" w:eastAsia="仿宋"/>
          <w:sz w:val="32"/>
          <w:szCs w:val="32"/>
        </w:rPr>
        <w:t>5</w:t>
      </w:r>
      <w:r>
        <w:rPr>
          <w:rFonts w:ascii="仿宋" w:hAnsi="仿宋" w:eastAsia="仿宋"/>
          <w:sz w:val="32"/>
          <w:szCs w:val="32"/>
        </w:rPr>
        <w:t>087车次</w:t>
      </w:r>
      <w:r>
        <w:rPr>
          <w:rFonts w:hint="eastAsia" w:ascii="仿宋" w:hAnsi="仿宋" w:eastAsia="仿宋"/>
          <w:sz w:val="32"/>
          <w:szCs w:val="32"/>
        </w:rPr>
        <w:t>、5</w:t>
      </w:r>
      <w:r>
        <w:rPr>
          <w:rFonts w:ascii="仿宋" w:hAnsi="仿宋" w:eastAsia="仿宋"/>
          <w:sz w:val="32"/>
          <w:szCs w:val="32"/>
        </w:rPr>
        <w:t>7400条路径</w:t>
      </w:r>
      <w:r>
        <w:rPr>
          <w:rFonts w:ascii="仿宋" w:hAnsi="仿宋" w:eastAsia="仿宋" w:cs="Calibri"/>
          <w:sz w:val="32"/>
          <w:szCs w:val="32"/>
        </w:rPr>
        <w:t>实车</w:t>
      </w:r>
      <w:r>
        <w:rPr>
          <w:rFonts w:ascii="仿宋" w:hAnsi="仿宋" w:eastAsia="仿宋"/>
          <w:sz w:val="32"/>
          <w:szCs w:val="32"/>
        </w:rPr>
        <w:t>测试</w:t>
      </w:r>
      <w:r>
        <w:rPr>
          <w:rFonts w:hint="eastAsia" w:ascii="仿宋" w:hAnsi="仿宋" w:eastAsia="仿宋"/>
          <w:sz w:val="32"/>
          <w:szCs w:val="32"/>
        </w:rPr>
        <w:t>工作，</w:t>
      </w:r>
      <w:r>
        <w:rPr>
          <w:rFonts w:hint="eastAsia" w:ascii="仿宋" w:hAnsi="仿宋" w:eastAsia="仿宋" w:cs="Calibri"/>
          <w:sz w:val="32"/>
          <w:szCs w:val="32"/>
        </w:rPr>
        <w:t>率先</w:t>
      </w:r>
      <w:r>
        <w:rPr>
          <w:rFonts w:hint="eastAsia" w:ascii="仿宋" w:hAnsi="仿宋" w:eastAsia="仿宋"/>
          <w:sz w:val="32"/>
          <w:szCs w:val="32"/>
        </w:rPr>
        <w:t>实现“一次行程、一张账单、一次扣费、一次告知”目标。目前，系统运行总体稳定，</w:t>
      </w:r>
      <w:r>
        <w:rPr>
          <w:rFonts w:hint="eastAsia" w:ascii="仿宋" w:hAnsi="仿宋" w:eastAsia="仿宋"/>
          <w:color w:val="000000" w:themeColor="text1"/>
          <w:sz w:val="32"/>
          <w:szCs w:val="32"/>
          <w14:textFill>
            <w14:solidFill>
              <w14:schemeClr w14:val="tx1"/>
            </w14:solidFill>
          </w14:textFill>
        </w:rPr>
        <w:t>多项主要指标稳居全国第一梯队。</w:t>
      </w:r>
      <w:r>
        <w:rPr>
          <w:rFonts w:ascii="仿宋" w:hAnsi="仿宋" w:eastAsia="仿宋"/>
          <w:color w:val="000000" w:themeColor="text1"/>
          <w:sz w:val="32"/>
          <w:szCs w:val="32"/>
          <w14:textFill>
            <w14:solidFill>
              <w14:schemeClr w14:val="tx1"/>
            </w14:solidFill>
          </w14:textFill>
        </w:rPr>
        <w:t xml:space="preserve"> </w:t>
      </w:r>
    </w:p>
    <w:p w14:paraId="3564477F">
      <w:pPr>
        <w:spacing w:line="64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灾备中心项目顺利建成投用。灾备中心建设要求高、头绪多、任务重，年初受疫情影响，项目工期有所延后。复工复产后，结算中心全力加强工程建设</w:t>
      </w:r>
      <w:r>
        <w:rPr>
          <w:rFonts w:hint="eastAsia" w:ascii="仿宋" w:hAnsi="仿宋" w:eastAsia="仿宋" w:cs="Calibri"/>
          <w:sz w:val="32"/>
          <w:szCs w:val="32"/>
        </w:rPr>
        <w:t>组织</w:t>
      </w:r>
      <w:r>
        <w:rPr>
          <w:rFonts w:hint="eastAsia" w:ascii="仿宋" w:hAnsi="仿宋" w:eastAsia="仿宋"/>
          <w:sz w:val="32"/>
          <w:szCs w:val="32"/>
        </w:rPr>
        <w:t>，优化工序，</w:t>
      </w:r>
      <w:r>
        <w:rPr>
          <w:rFonts w:hint="eastAsia" w:ascii="仿宋" w:hAnsi="仿宋" w:eastAsia="仿宋" w:cs="Calibri"/>
          <w:sz w:val="32"/>
          <w:szCs w:val="32"/>
        </w:rPr>
        <w:t>严控质量</w:t>
      </w:r>
      <w:r>
        <w:rPr>
          <w:rFonts w:hint="eastAsia" w:ascii="仿宋" w:hAnsi="仿宋" w:eastAsia="仿宋"/>
          <w:sz w:val="32"/>
          <w:szCs w:val="32"/>
        </w:rPr>
        <w:t>。</w:t>
      </w:r>
      <w:r>
        <w:rPr>
          <w:rFonts w:hint="eastAsia" w:ascii="仿宋" w:hAnsi="仿宋" w:eastAsia="仿宋" w:cs="Calibri"/>
          <w:sz w:val="32"/>
          <w:szCs w:val="32"/>
        </w:rPr>
        <w:t>实行</w:t>
      </w:r>
      <w:r>
        <w:rPr>
          <w:rFonts w:hint="eastAsia" w:ascii="仿宋" w:hAnsi="仿宋" w:eastAsia="仿宋"/>
          <w:sz w:val="32"/>
          <w:szCs w:val="32"/>
        </w:rPr>
        <w:t>工地周例会、周检查、周报表及月报表制度，定期分析质量、进度、安全</w:t>
      </w:r>
      <w:r>
        <w:rPr>
          <w:rFonts w:hint="eastAsia" w:ascii="仿宋" w:hAnsi="仿宋" w:eastAsia="仿宋" w:cs="Calibri"/>
          <w:sz w:val="32"/>
          <w:szCs w:val="32"/>
        </w:rPr>
        <w:t>和</w:t>
      </w:r>
      <w:r>
        <w:rPr>
          <w:rFonts w:hint="eastAsia" w:ascii="仿宋" w:hAnsi="仿宋" w:eastAsia="仿宋"/>
          <w:sz w:val="32"/>
          <w:szCs w:val="32"/>
        </w:rPr>
        <w:t>投资完成情况，在确保工程质量前提下，抢</w:t>
      </w:r>
      <w:r>
        <w:rPr>
          <w:rFonts w:hint="eastAsia" w:ascii="仿宋" w:hAnsi="仿宋" w:eastAsia="仿宋" w:cs="Calibri"/>
          <w:sz w:val="32"/>
          <w:szCs w:val="32"/>
        </w:rPr>
        <w:t>抓</w:t>
      </w:r>
      <w:r>
        <w:rPr>
          <w:rFonts w:hint="eastAsia" w:ascii="仿宋" w:hAnsi="仿宋" w:eastAsia="仿宋"/>
          <w:sz w:val="32"/>
          <w:szCs w:val="32"/>
        </w:rPr>
        <w:t>工程进度。目前已全部完成房建</w:t>
      </w:r>
      <w:r>
        <w:rPr>
          <w:rFonts w:hint="eastAsia" w:ascii="仿宋" w:hAnsi="仿宋" w:eastAsia="仿宋" w:cs="Calibri"/>
          <w:sz w:val="32"/>
          <w:szCs w:val="32"/>
        </w:rPr>
        <w:t>工程竣工验收</w:t>
      </w:r>
      <w:r>
        <w:rPr>
          <w:rFonts w:hint="eastAsia" w:ascii="仿宋" w:hAnsi="仿宋" w:eastAsia="仿宋"/>
          <w:sz w:val="32"/>
          <w:szCs w:val="32"/>
        </w:rPr>
        <w:t>；信息化工程大部分标段完工验收进入试运行。累计完成投资金额</w:t>
      </w:r>
      <w:r>
        <w:rPr>
          <w:rFonts w:ascii="仿宋" w:hAnsi="仿宋" w:eastAsia="仿宋"/>
          <w:color w:val="000000" w:themeColor="text1"/>
          <w:sz w:val="32"/>
          <w:szCs w:val="32"/>
          <w14:textFill>
            <w14:solidFill>
              <w14:schemeClr w14:val="tx1"/>
            </w14:solidFill>
          </w14:textFill>
        </w:rPr>
        <w:t>2.2</w:t>
      </w:r>
      <w:r>
        <w:rPr>
          <w:rFonts w:ascii="仿宋" w:hAnsi="仿宋" w:eastAsia="仿宋"/>
          <w:sz w:val="32"/>
          <w:szCs w:val="32"/>
        </w:rPr>
        <w:t>亿元</w:t>
      </w:r>
      <w:r>
        <w:rPr>
          <w:rFonts w:hint="eastAsia" w:ascii="仿宋" w:hAnsi="仿宋" w:eastAsia="仿宋"/>
          <w:sz w:val="32"/>
          <w:szCs w:val="32"/>
        </w:rPr>
        <w:t>（占总投资</w:t>
      </w:r>
      <w:r>
        <w:rPr>
          <w:rFonts w:hint="eastAsia" w:ascii="仿宋" w:hAnsi="仿宋" w:eastAsia="仿宋"/>
          <w:color w:val="000000" w:themeColor="text1"/>
          <w:sz w:val="32"/>
          <w:szCs w:val="32"/>
          <w14:textFill>
            <w14:solidFill>
              <w14:schemeClr w14:val="tx1"/>
            </w14:solidFill>
          </w14:textFill>
        </w:rPr>
        <w:t>9</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），1</w:t>
      </w:r>
      <w:r>
        <w:rPr>
          <w:rFonts w:ascii="仿宋" w:hAnsi="仿宋" w:eastAsia="仿宋"/>
          <w:sz w:val="32"/>
          <w:szCs w:val="32"/>
        </w:rPr>
        <w:t>2月中旬</w:t>
      </w:r>
      <w:r>
        <w:rPr>
          <w:rFonts w:hint="eastAsia" w:ascii="仿宋" w:hAnsi="仿宋" w:eastAsia="仿宋"/>
          <w:sz w:val="32"/>
          <w:szCs w:val="32"/>
        </w:rPr>
        <w:t>开始投入试用。</w:t>
      </w:r>
    </w:p>
    <w:p w14:paraId="78D635FA">
      <w:pPr>
        <w:spacing w:line="64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.体制机制改革取得关键进展</w:t>
      </w:r>
      <w:r>
        <w:rPr>
          <w:rFonts w:hint="eastAsia" w:ascii="仿宋" w:hAnsi="仿宋" w:eastAsia="仿宋"/>
          <w:sz w:val="32"/>
          <w:szCs w:val="32"/>
        </w:rPr>
        <w:t>。</w:t>
      </w:r>
      <w:r>
        <w:rPr>
          <w:rFonts w:hint="eastAsia" w:ascii="仿宋" w:hAnsi="仿宋" w:eastAsia="仿宋"/>
          <w:bCs/>
          <w:sz w:val="32"/>
          <w:szCs w:val="32"/>
        </w:rPr>
        <w:t>体制问题是困扰结算中心、智能公司十年的难题，</w:t>
      </w:r>
      <w:r>
        <w:rPr>
          <w:rFonts w:hint="eastAsia" w:ascii="仿宋" w:hAnsi="仿宋" w:eastAsia="仿宋"/>
          <w:sz w:val="32"/>
          <w:szCs w:val="32"/>
        </w:rPr>
        <w:t>为进一步理顺我省高速公路通行费清分结算机制，主动适应取消高速公路省界收费站“一体化”运行管理和高速公路信息化发展需要。在厅党组坚强领导下，</w:t>
      </w:r>
      <w:r>
        <w:rPr>
          <w:rFonts w:hint="eastAsia" w:ascii="仿宋" w:hAnsi="仿宋" w:eastAsia="仿宋" w:cs="微软雅黑"/>
          <w:sz w:val="32"/>
          <w:szCs w:val="32"/>
        </w:rPr>
        <w:t>相</w:t>
      </w:r>
      <w:r>
        <w:rPr>
          <w:rFonts w:hint="eastAsia" w:ascii="仿宋" w:hAnsi="仿宋" w:eastAsia="仿宋"/>
          <w:sz w:val="32"/>
          <w:szCs w:val="32"/>
        </w:rPr>
        <w:t>关各方就智能公司重组达成一致意见，</w:t>
      </w:r>
      <w:r>
        <w:rPr>
          <w:rFonts w:hint="eastAsia" w:ascii="仿宋" w:hAnsi="仿宋" w:eastAsia="仿宋" w:cs="Calibri"/>
          <w:sz w:val="32"/>
          <w:szCs w:val="32"/>
        </w:rPr>
        <w:t>省</w:t>
      </w:r>
      <w:r>
        <w:rPr>
          <w:rFonts w:hint="eastAsia" w:ascii="仿宋" w:hAnsi="仿宋" w:eastAsia="仿宋"/>
          <w:sz w:val="32"/>
          <w:szCs w:val="32"/>
        </w:rPr>
        <w:t>交投、川高公司批复</w:t>
      </w:r>
      <w:r>
        <w:rPr>
          <w:rFonts w:hint="eastAsia" w:ascii="仿宋" w:hAnsi="仿宋" w:eastAsia="仿宋" w:cs="Calibri"/>
          <w:sz w:val="32"/>
          <w:szCs w:val="32"/>
        </w:rPr>
        <w:t>公司</w:t>
      </w:r>
      <w:r>
        <w:rPr>
          <w:rFonts w:hint="eastAsia" w:ascii="仿宋" w:hAnsi="仿宋" w:eastAsia="仿宋"/>
          <w:sz w:val="32"/>
          <w:szCs w:val="32"/>
        </w:rPr>
        <w:t>增资方案。</w:t>
      </w:r>
      <w:r>
        <w:rPr>
          <w:rFonts w:ascii="仿宋" w:hAnsi="仿宋" w:eastAsia="仿宋"/>
          <w:sz w:val="32"/>
          <w:szCs w:val="32"/>
        </w:rPr>
        <w:t>已</w:t>
      </w:r>
      <w:r>
        <w:rPr>
          <w:rFonts w:hint="eastAsia" w:ascii="仿宋" w:hAnsi="仿宋" w:eastAsia="仿宋"/>
          <w:sz w:val="32"/>
          <w:szCs w:val="32"/>
        </w:rPr>
        <w:t>召开</w:t>
      </w:r>
      <w:r>
        <w:rPr>
          <w:rFonts w:hint="eastAsia" w:ascii="仿宋" w:hAnsi="仿宋" w:eastAsia="仿宋" w:cs="Calibri"/>
          <w:sz w:val="32"/>
          <w:szCs w:val="32"/>
        </w:rPr>
        <w:t>智能</w:t>
      </w:r>
      <w:r>
        <w:rPr>
          <w:rFonts w:hint="eastAsia" w:ascii="仿宋" w:hAnsi="仿宋" w:eastAsia="仿宋"/>
          <w:sz w:val="32"/>
          <w:szCs w:val="32"/>
        </w:rPr>
        <w:t>公司董事会、股东会，通过增值扩股</w:t>
      </w:r>
      <w:r>
        <w:rPr>
          <w:rFonts w:hint="eastAsia" w:ascii="仿宋" w:hAnsi="仿宋" w:eastAsia="仿宋" w:cs="Calibri"/>
          <w:sz w:val="32"/>
          <w:szCs w:val="32"/>
        </w:rPr>
        <w:t>决议</w:t>
      </w:r>
      <w:r>
        <w:rPr>
          <w:rFonts w:hint="eastAsia" w:ascii="仿宋" w:hAnsi="仿宋" w:eastAsia="仿宋"/>
          <w:sz w:val="32"/>
          <w:szCs w:val="32"/>
        </w:rPr>
        <w:t>，完成内部决策程序；完成《增资协议》签订，除中国铁建在报批外，其余股东均完成认股资金缴纳，待认股资金全部到位并召开新股东会审议《公司章程》后，</w:t>
      </w:r>
      <w:r>
        <w:rPr>
          <w:rFonts w:hint="eastAsia" w:ascii="仿宋" w:hAnsi="仿宋" w:eastAsia="仿宋" w:cs="Cambria"/>
          <w:bCs/>
          <w:kern w:val="0"/>
          <w:sz w:val="32"/>
          <w:szCs w:val="32"/>
        </w:rPr>
        <w:t>完成工商变更登记相关工作</w:t>
      </w:r>
      <w:r>
        <w:rPr>
          <w:rFonts w:hint="eastAsia" w:ascii="仿宋" w:hAnsi="仿宋" w:eastAsia="仿宋"/>
          <w:sz w:val="32"/>
          <w:szCs w:val="32"/>
        </w:rPr>
        <w:t>。</w:t>
      </w:r>
    </w:p>
    <w:p w14:paraId="1ED120BE">
      <w:pPr>
        <w:spacing w:line="64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ETC客户服务能力显著提升。年初全国联网收费系统切换后，全省ETC用户咨询投诉剧增，为满足用户需求，在原有9个自有坐席基础上采取话务外包、增</w:t>
      </w:r>
      <w:r>
        <w:rPr>
          <w:rFonts w:hint="eastAsia" w:ascii="仿宋" w:hAnsi="仿宋" w:eastAsia="仿宋" w:cs="Calibri"/>
          <w:sz w:val="32"/>
          <w:szCs w:val="32"/>
        </w:rPr>
        <w:t>设</w:t>
      </w:r>
      <w:r>
        <w:rPr>
          <w:rFonts w:hint="eastAsia" w:ascii="仿宋" w:hAnsi="仿宋" w:eastAsia="仿宋"/>
          <w:sz w:val="32"/>
          <w:szCs w:val="32"/>
        </w:rPr>
        <w:t>自有坐席、借用营运公司人员的方式（</w:t>
      </w:r>
      <w:r>
        <w:rPr>
          <w:rFonts w:hint="eastAsia" w:ascii="仿宋" w:hAnsi="仿宋" w:eastAsia="仿宋"/>
          <w:sz w:val="32"/>
          <w:szCs w:val="32"/>
          <w:lang w:val="en-US" w:eastAsia="zh-CN"/>
        </w:rPr>
        <w:t>坐</w:t>
      </w:r>
      <w:r>
        <w:rPr>
          <w:rFonts w:hint="eastAsia" w:ascii="仿宋" w:hAnsi="仿宋" w:eastAsia="仿宋" w:cs="微软雅黑"/>
          <w:sz w:val="32"/>
          <w:szCs w:val="32"/>
        </w:rPr>
        <w:t>席数增加至</w:t>
      </w:r>
      <w:r>
        <w:rPr>
          <w:rFonts w:hint="eastAsia" w:ascii="仿宋" w:hAnsi="仿宋" w:eastAsia="仿宋"/>
          <w:sz w:val="32"/>
          <w:szCs w:val="32"/>
        </w:rPr>
        <w:t>93</w:t>
      </w:r>
      <w:r>
        <w:rPr>
          <w:rFonts w:hint="eastAsia" w:ascii="仿宋" w:hAnsi="仿宋" w:eastAsia="仿宋" w:cs="微软雅黑"/>
          <w:sz w:val="32"/>
          <w:szCs w:val="32"/>
        </w:rPr>
        <w:t>个</w:t>
      </w:r>
      <w:r>
        <w:rPr>
          <w:rFonts w:hint="eastAsia" w:ascii="仿宋" w:hAnsi="仿宋" w:eastAsia="仿宋"/>
          <w:sz w:val="32"/>
          <w:szCs w:val="32"/>
        </w:rPr>
        <w:t>），解决了话务接入和客服人员不足问题。尤其在</w:t>
      </w:r>
      <w:r>
        <w:rPr>
          <w:rFonts w:hint="eastAsia" w:ascii="仿宋" w:hAnsi="仿宋" w:eastAsia="仿宋" w:cs="Calibri"/>
          <w:sz w:val="32"/>
          <w:szCs w:val="32"/>
        </w:rPr>
        <w:t>2020年</w:t>
      </w:r>
      <w:r>
        <w:rPr>
          <w:rFonts w:hint="eastAsia" w:ascii="仿宋" w:hAnsi="仿宋" w:eastAsia="仿宋"/>
          <w:sz w:val="32"/>
          <w:szCs w:val="32"/>
        </w:rPr>
        <w:t>春节期间，抓住免费</w:t>
      </w:r>
      <w:r>
        <w:rPr>
          <w:rFonts w:hint="eastAsia" w:ascii="仿宋" w:hAnsi="仿宋" w:eastAsia="仿宋" w:cs="Calibri"/>
          <w:sz w:val="32"/>
          <w:szCs w:val="32"/>
        </w:rPr>
        <w:t>通行</w:t>
      </w:r>
      <w:r>
        <w:rPr>
          <w:rFonts w:hint="eastAsia" w:ascii="仿宋" w:hAnsi="仿宋" w:eastAsia="仿宋"/>
          <w:sz w:val="32"/>
          <w:szCs w:val="32"/>
        </w:rPr>
        <w:t>“窗口期”，全体职工取消</w:t>
      </w:r>
      <w:r>
        <w:rPr>
          <w:rFonts w:hint="eastAsia" w:ascii="仿宋" w:hAnsi="仿宋" w:eastAsia="仿宋" w:cs="Calibri"/>
          <w:sz w:val="32"/>
          <w:szCs w:val="32"/>
        </w:rPr>
        <w:t>所有</w:t>
      </w:r>
      <w:r>
        <w:rPr>
          <w:rFonts w:hint="eastAsia" w:ascii="仿宋" w:hAnsi="仿宋" w:eastAsia="仿宋"/>
          <w:sz w:val="32"/>
          <w:szCs w:val="32"/>
        </w:rPr>
        <w:t>休假，通宵达旦完成7.5万件积压投诉清零，开展历史交易</w:t>
      </w:r>
      <w:r>
        <w:rPr>
          <w:rFonts w:hint="eastAsia" w:ascii="仿宋" w:hAnsi="仿宋" w:eastAsia="仿宋" w:cs="Calibri"/>
          <w:sz w:val="32"/>
          <w:szCs w:val="32"/>
        </w:rPr>
        <w:t>排查，主动处理</w:t>
      </w:r>
      <w:r>
        <w:rPr>
          <w:rFonts w:hint="eastAsia" w:ascii="仿宋" w:hAnsi="仿宋" w:eastAsia="仿宋"/>
          <w:sz w:val="32"/>
          <w:szCs w:val="32"/>
        </w:rPr>
        <w:t>潜在投诉7268条。目前，投诉总体平稳，舆情可控。日均话务</w:t>
      </w:r>
      <w:r>
        <w:rPr>
          <w:rFonts w:hint="eastAsia" w:ascii="仿宋" w:hAnsi="仿宋" w:eastAsia="仿宋" w:cs="Calibri"/>
          <w:sz w:val="32"/>
          <w:szCs w:val="32"/>
        </w:rPr>
        <w:t>量</w:t>
      </w:r>
      <w:r>
        <w:rPr>
          <w:rFonts w:hint="eastAsia" w:ascii="仿宋" w:hAnsi="仿宋" w:eastAsia="仿宋"/>
          <w:sz w:val="32"/>
          <w:szCs w:val="32"/>
        </w:rPr>
        <w:t>由初期10800件下降至2260件，一次接通率99%，处理及时率、投诉结案率100%。</w:t>
      </w:r>
    </w:p>
    <w:p w14:paraId="4382DA85">
      <w:pPr>
        <w:ind w:firstLine="640" w:firstLineChars="200"/>
        <w:rPr>
          <w:rFonts w:hint="eastAsia" w:eastAsia="仿宋"/>
          <w:lang w:eastAsia="zh-CN"/>
        </w:rPr>
      </w:pPr>
      <w:r>
        <w:rPr>
          <w:rFonts w:hint="eastAsia" w:ascii="仿宋" w:hAnsi="仿宋" w:eastAsia="仿宋"/>
          <w:sz w:val="32"/>
          <w:szCs w:val="32"/>
        </w:rPr>
        <w:t>5</w:t>
      </w:r>
      <w:r>
        <w:rPr>
          <w:rFonts w:ascii="仿宋" w:hAnsi="仿宋" w:eastAsia="仿宋"/>
          <w:sz w:val="32"/>
          <w:szCs w:val="32"/>
        </w:rPr>
        <w:t>.疫情防控取得阶段性成效</w:t>
      </w:r>
      <w:r>
        <w:rPr>
          <w:rFonts w:hint="eastAsia" w:ascii="仿宋" w:hAnsi="仿宋" w:eastAsia="仿宋"/>
          <w:sz w:val="32"/>
          <w:szCs w:val="32"/>
        </w:rPr>
        <w:t>。按照厅党组、局党委统一部署，成立领导小组，制定工作方案，建立“十项工作机制”。</w:t>
      </w:r>
      <w:r>
        <w:rPr>
          <w:rFonts w:hint="eastAsia" w:ascii="仿宋" w:hAnsi="仿宋" w:eastAsia="仿宋" w:cs="Calibri"/>
          <w:sz w:val="32"/>
          <w:szCs w:val="32"/>
        </w:rPr>
        <w:t>尤其</w:t>
      </w:r>
      <w:r>
        <w:rPr>
          <w:rFonts w:hint="eastAsia" w:ascii="仿宋" w:hAnsi="仿宋" w:eastAsia="仿宋"/>
          <w:sz w:val="32"/>
          <w:szCs w:val="32"/>
        </w:rPr>
        <w:t>春节前后</w:t>
      </w:r>
      <w:r>
        <w:rPr>
          <w:rFonts w:hint="eastAsia" w:ascii="仿宋" w:hAnsi="仿宋" w:eastAsia="仿宋" w:cs="Calibri"/>
          <w:sz w:val="32"/>
          <w:szCs w:val="32"/>
        </w:rPr>
        <w:t>开始</w:t>
      </w:r>
      <w:r>
        <w:rPr>
          <w:rFonts w:hint="eastAsia" w:ascii="仿宋" w:hAnsi="仿宋" w:eastAsia="仿宋" w:cs="___WRD_EMBED_SUB_41"/>
          <w:sz w:val="32"/>
          <w:szCs w:val="32"/>
        </w:rPr>
        <w:t>至</w:t>
      </w:r>
      <w:r>
        <w:rPr>
          <w:rFonts w:hint="eastAsia" w:ascii="仿宋" w:hAnsi="仿宋" w:eastAsia="仿宋"/>
          <w:sz w:val="32"/>
          <w:szCs w:val="32"/>
        </w:rPr>
        <w:t>6月底，全</w:t>
      </w:r>
      <w:r>
        <w:rPr>
          <w:rFonts w:hint="eastAsia" w:ascii="仿宋" w:hAnsi="仿宋" w:eastAsia="仿宋" w:cs="Calibri"/>
          <w:sz w:val="32"/>
          <w:szCs w:val="32"/>
        </w:rPr>
        <w:t>网</w:t>
      </w:r>
      <w:r>
        <w:rPr>
          <w:rFonts w:hint="eastAsia" w:ascii="仿宋" w:hAnsi="仿宋" w:eastAsia="仿宋"/>
          <w:sz w:val="32"/>
          <w:szCs w:val="32"/>
        </w:rPr>
        <w:t>系统高</w:t>
      </w:r>
      <w:r>
        <w:rPr>
          <w:rFonts w:hint="eastAsia" w:ascii="仿宋" w:hAnsi="仿宋" w:eastAsia="仿宋" w:cs="微软雅黑"/>
          <w:sz w:val="32"/>
          <w:szCs w:val="32"/>
        </w:rPr>
        <w:t>频次</w:t>
      </w:r>
      <w:r>
        <w:rPr>
          <w:rFonts w:hint="eastAsia" w:ascii="仿宋" w:hAnsi="仿宋" w:eastAsia="仿宋"/>
          <w:sz w:val="32"/>
          <w:szCs w:val="32"/>
        </w:rPr>
        <w:t>优化升级、ETC投诉处理任务繁重、</w:t>
      </w:r>
      <w:r>
        <w:rPr>
          <w:rFonts w:hint="eastAsia" w:ascii="仿宋" w:hAnsi="仿宋" w:eastAsia="仿宋" w:cs="Calibri"/>
          <w:sz w:val="32"/>
          <w:szCs w:val="32"/>
        </w:rPr>
        <w:t>灾备中心加快推进</w:t>
      </w:r>
      <w:r>
        <w:rPr>
          <w:rFonts w:hint="eastAsia" w:ascii="仿宋" w:hAnsi="仿宋" w:eastAsia="仿宋"/>
          <w:sz w:val="32"/>
          <w:szCs w:val="32"/>
        </w:rPr>
        <w:t>，ETC客服办公点、绕东</w:t>
      </w:r>
      <w:r>
        <w:rPr>
          <w:rFonts w:hint="eastAsia" w:ascii="仿宋" w:hAnsi="仿宋" w:eastAsia="仿宋" w:cs="Calibri"/>
          <w:sz w:val="32"/>
          <w:szCs w:val="32"/>
        </w:rPr>
        <w:t>结算中心和灾备中心建设工地，人员</w:t>
      </w:r>
      <w:r>
        <w:rPr>
          <w:rFonts w:hint="eastAsia" w:ascii="仿宋" w:hAnsi="仿宋" w:eastAsia="仿宋" w:cs="微软雅黑"/>
          <w:sz w:val="32"/>
          <w:szCs w:val="32"/>
        </w:rPr>
        <w:t>构</w:t>
      </w:r>
      <w:r>
        <w:rPr>
          <w:rFonts w:hint="eastAsia" w:ascii="仿宋" w:hAnsi="仿宋" w:eastAsia="仿宋" w:cs="___WRD_EMBED_SUB_41"/>
          <w:sz w:val="32"/>
          <w:szCs w:val="32"/>
        </w:rPr>
        <w:t>成</w:t>
      </w:r>
      <w:r>
        <w:rPr>
          <w:rFonts w:hint="eastAsia" w:ascii="仿宋" w:hAnsi="仿宋" w:eastAsia="仿宋" w:cs="Calibri"/>
          <w:sz w:val="32"/>
          <w:szCs w:val="32"/>
        </w:rPr>
        <w:t>复</w:t>
      </w:r>
      <w:r>
        <w:rPr>
          <w:rFonts w:hint="eastAsia" w:ascii="仿宋" w:hAnsi="仿宋" w:eastAsia="仿宋" w:cs="微软雅黑"/>
          <w:sz w:val="32"/>
          <w:szCs w:val="32"/>
        </w:rPr>
        <w:t>杂</w:t>
      </w:r>
      <w:r>
        <w:rPr>
          <w:rFonts w:hint="eastAsia" w:ascii="仿宋" w:hAnsi="仿宋" w:eastAsia="仿宋" w:cs="Calibri"/>
          <w:sz w:val="32"/>
          <w:szCs w:val="32"/>
        </w:rPr>
        <w:t>、数量密集、加班加点、昼夜无休，为防止</w:t>
      </w:r>
      <w:r>
        <w:rPr>
          <w:rFonts w:hint="eastAsia" w:ascii="仿宋" w:hAnsi="仿宋" w:eastAsia="仿宋" w:cs="微软雅黑"/>
          <w:sz w:val="32"/>
          <w:szCs w:val="32"/>
        </w:rPr>
        <w:t>病毒</w:t>
      </w:r>
      <w:r>
        <w:rPr>
          <w:rFonts w:hint="eastAsia" w:ascii="仿宋" w:hAnsi="仿宋" w:eastAsia="仿宋" w:cs="Calibri"/>
          <w:sz w:val="32"/>
          <w:szCs w:val="32"/>
        </w:rPr>
        <w:t>感染风险，采取严控人员进入、强化日常消毒、划</w:t>
      </w:r>
      <w:r>
        <w:rPr>
          <w:rFonts w:hint="eastAsia" w:ascii="仿宋" w:hAnsi="仿宋" w:eastAsia="仿宋"/>
          <w:sz w:val="32"/>
          <w:szCs w:val="32"/>
        </w:rPr>
        <w:t>区域分散办公，合理调整工位布局及工序等，</w:t>
      </w:r>
      <w:r>
        <w:rPr>
          <w:rFonts w:hint="eastAsia" w:ascii="仿宋" w:hAnsi="仿宋" w:eastAsia="仿宋" w:cs="Calibri"/>
          <w:sz w:val="32"/>
          <w:szCs w:val="32"/>
        </w:rPr>
        <w:t>切实</w:t>
      </w:r>
      <w:r>
        <w:rPr>
          <w:rFonts w:hint="eastAsia" w:ascii="仿宋" w:hAnsi="仿宋" w:eastAsia="仿宋"/>
          <w:sz w:val="32"/>
          <w:szCs w:val="32"/>
        </w:rPr>
        <w:t>保障了工作人员</w:t>
      </w:r>
      <w:r>
        <w:rPr>
          <w:rFonts w:hint="eastAsia" w:ascii="仿宋" w:hAnsi="仿宋" w:eastAsia="仿宋" w:cs="Calibri"/>
          <w:sz w:val="32"/>
          <w:szCs w:val="32"/>
        </w:rPr>
        <w:t>和建筑工人</w:t>
      </w:r>
      <w:r>
        <w:rPr>
          <w:rFonts w:hint="eastAsia" w:ascii="仿宋" w:hAnsi="仿宋" w:eastAsia="仿宋"/>
          <w:sz w:val="32"/>
          <w:szCs w:val="32"/>
        </w:rPr>
        <w:t>生命健康安全，单位所有职工、外协人员和建筑工地人员均零感染</w:t>
      </w:r>
      <w:r>
        <w:rPr>
          <w:rFonts w:hint="eastAsia" w:ascii="仿宋" w:hAnsi="仿宋" w:eastAsia="仿宋"/>
          <w:sz w:val="32"/>
          <w:szCs w:val="32"/>
          <w:lang w:eastAsia="zh-CN"/>
        </w:rPr>
        <w:t>。</w:t>
      </w:r>
    </w:p>
    <w:p w14:paraId="752FA609">
      <w:pPr>
        <w:widowControl/>
        <w:jc w:val="left"/>
        <w:rPr>
          <w:rFonts w:ascii="仿宋" w:hAnsi="仿宋" w:eastAsia="仿宋"/>
          <w:sz w:val="32"/>
          <w:szCs w:val="32"/>
        </w:rPr>
      </w:pPr>
    </w:p>
    <w:p w14:paraId="20463C0C">
      <w:pPr>
        <w:keepNext w:val="0"/>
        <w:keepLines w:val="0"/>
        <w:pageBreakBefore w:val="0"/>
        <w:widowControl/>
        <w:numPr>
          <w:ilvl w:val="0"/>
          <w:numId w:val="3"/>
        </w:numPr>
        <w:suppressLineNumbers w:val="0"/>
        <w:kinsoku/>
        <w:wordWrap/>
        <w:overflowPunct/>
        <w:topLinePunct w:val="0"/>
        <w:autoSpaceDE/>
        <w:autoSpaceDN/>
        <w:bidi w:val="0"/>
        <w:adjustRightInd/>
        <w:snapToGrid/>
        <w:spacing w:before="313" w:beforeLines="100" w:after="313" w:afterLines="100" w:line="416" w:lineRule="auto"/>
        <w:ind w:left="0" w:leftChars="0" w:firstLine="0" w:firstLineChars="0"/>
        <w:jc w:val="left"/>
        <w:textAlignment w:val="auto"/>
      </w:pPr>
      <w:r>
        <w:rPr>
          <w:rFonts w:ascii="黑体" w:hAnsi="宋体" w:eastAsia="黑体" w:cs="黑体"/>
          <w:color w:val="000000"/>
          <w:kern w:val="0"/>
          <w:sz w:val="32"/>
          <w:szCs w:val="32"/>
          <w:lang w:val="en-US" w:eastAsia="zh-CN" w:bidi="ar"/>
        </w:rPr>
        <w:t xml:space="preserve">机构设置情况 </w:t>
      </w:r>
    </w:p>
    <w:p w14:paraId="520AC36B">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中心本级由六个内设科室组成，分别是：办公室、财务科、 </w:t>
      </w:r>
    </w:p>
    <w:p w14:paraId="3AB1935D">
      <w:pPr>
        <w:keepNext w:val="0"/>
        <w:keepLines w:val="0"/>
        <w:widowControl/>
        <w:suppressLineNumbers w:val="0"/>
        <w:jc w:val="left"/>
      </w:pPr>
      <w:r>
        <w:rPr>
          <w:rFonts w:hint="eastAsia" w:ascii="仿宋" w:hAnsi="仿宋" w:eastAsia="仿宋" w:cs="仿宋"/>
          <w:color w:val="000000"/>
          <w:kern w:val="0"/>
          <w:sz w:val="31"/>
          <w:szCs w:val="31"/>
          <w:lang w:val="en-US" w:eastAsia="zh-CN" w:bidi="ar"/>
        </w:rPr>
        <w:t>后勤物业科、技术维护科、系统运行科、监控信息科。</w:t>
      </w:r>
    </w:p>
    <w:p w14:paraId="1BE4F018">
      <w:pPr>
        <w:widowControl/>
        <w:jc w:val="left"/>
        <w:rPr>
          <w:rFonts w:ascii="仿宋" w:hAnsi="仿宋" w:eastAsia="仿宋"/>
          <w:kern w:val="0"/>
          <w:sz w:val="32"/>
          <w:szCs w:val="32"/>
        </w:rPr>
      </w:pPr>
      <w:r>
        <w:rPr>
          <w:rFonts w:ascii="仿宋" w:hAnsi="仿宋" w:eastAsia="仿宋"/>
          <w:sz w:val="32"/>
          <w:szCs w:val="32"/>
        </w:rPr>
        <w:br w:type="page"/>
      </w:r>
    </w:p>
    <w:p w14:paraId="47DE07CF">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2020年度</w:t>
      </w:r>
      <w:r>
        <w:rPr>
          <w:rStyle w:val="27"/>
          <w:rFonts w:hint="eastAsia" w:ascii="黑体" w:hAnsi="黑体" w:eastAsia="黑体"/>
          <w:b w:val="0"/>
          <w:bCs/>
        </w:rPr>
        <w:t>单位决算情况说明</w:t>
      </w:r>
      <w:bookmarkEnd w:id="16"/>
      <w:bookmarkEnd w:id="17"/>
    </w:p>
    <w:p w14:paraId="6E8360D5"/>
    <w:p w14:paraId="27856769">
      <w:pPr>
        <w:pStyle w:val="26"/>
        <w:numPr>
          <w:ilvl w:val="0"/>
          <w:numId w:val="4"/>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47D17761">
      <w:pPr>
        <w:spacing w:line="600" w:lineRule="exact"/>
        <w:ind w:firstLine="640" w:firstLineChars="200"/>
        <w:rPr>
          <w:rFonts w:ascii="仿宋" w:hAnsi="仿宋" w:eastAsia="仿宋"/>
          <w:sz w:val="32"/>
          <w:szCs w:val="32"/>
        </w:rPr>
      </w:pPr>
      <w:r>
        <w:rPr>
          <w:rFonts w:hint="eastAsia" w:ascii="仿宋" w:hAnsi="仿宋" w:eastAsia="仿宋"/>
          <w:sz w:val="32"/>
          <w:szCs w:val="32"/>
        </w:rPr>
        <w:t>2020年度收、支总计</w:t>
      </w:r>
      <w:r>
        <w:rPr>
          <w:rFonts w:ascii="仿宋" w:hAnsi="仿宋" w:eastAsia="仿宋"/>
          <w:sz w:val="32"/>
          <w:szCs w:val="32"/>
        </w:rPr>
        <w:t>18，964.04</w:t>
      </w:r>
      <w:r>
        <w:rPr>
          <w:rFonts w:hint="eastAsia" w:ascii="仿宋" w:hAnsi="仿宋" w:eastAsia="仿宋"/>
          <w:sz w:val="32"/>
          <w:szCs w:val="32"/>
        </w:rPr>
        <w:t>万元。与2019年相比，收、支总计各增加1</w:t>
      </w:r>
      <w:r>
        <w:rPr>
          <w:rFonts w:ascii="仿宋" w:hAnsi="仿宋" w:eastAsia="仿宋"/>
          <w:sz w:val="32"/>
          <w:szCs w:val="32"/>
        </w:rPr>
        <w:t>2,406.69</w:t>
      </w:r>
      <w:r>
        <w:rPr>
          <w:rFonts w:hint="eastAsia" w:ascii="仿宋" w:hAnsi="仿宋" w:eastAsia="仿宋"/>
          <w:sz w:val="32"/>
          <w:szCs w:val="32"/>
        </w:rPr>
        <w:t>万元，增长</w:t>
      </w:r>
      <w:r>
        <w:rPr>
          <w:rFonts w:ascii="仿宋" w:hAnsi="仿宋" w:eastAsia="仿宋"/>
          <w:sz w:val="32"/>
          <w:szCs w:val="32"/>
        </w:rPr>
        <w:t>189.20%</w:t>
      </w:r>
      <w:r>
        <w:rPr>
          <w:rFonts w:hint="eastAsia" w:ascii="仿宋" w:hAnsi="仿宋" w:eastAsia="仿宋"/>
          <w:sz w:val="32"/>
          <w:szCs w:val="32"/>
        </w:rPr>
        <w:t>。主要变动原因是2</w:t>
      </w:r>
      <w:r>
        <w:rPr>
          <w:rFonts w:ascii="仿宋" w:hAnsi="仿宋" w:eastAsia="仿宋"/>
          <w:sz w:val="32"/>
          <w:szCs w:val="32"/>
        </w:rPr>
        <w:t>020年财政拨付结算中心基本建设资金</w:t>
      </w:r>
      <w:r>
        <w:rPr>
          <w:rFonts w:hint="eastAsia" w:ascii="仿宋" w:hAnsi="仿宋" w:eastAsia="仿宋"/>
          <w:sz w:val="32"/>
          <w:szCs w:val="32"/>
        </w:rPr>
        <w:t>8,</w:t>
      </w:r>
      <w:r>
        <w:rPr>
          <w:rFonts w:ascii="仿宋" w:hAnsi="仿宋" w:eastAsia="仿宋"/>
          <w:sz w:val="32"/>
          <w:szCs w:val="32"/>
        </w:rPr>
        <w:t>710万元用于四川省高速公路监控结算中心和灾备中心改造建设工程项目，增长幅度较大。</w:t>
      </w:r>
    </w:p>
    <w:p w14:paraId="7847B60B">
      <w:pPr>
        <w:pStyle w:val="2"/>
        <w:spacing w:before="93"/>
      </w:pPr>
      <w:r>
        <w:rPr>
          <w:rFonts w:hint="eastAsia"/>
          <w:sz w:val="32"/>
          <w:szCs w:val="32"/>
        </w:rPr>
        <w:drawing>
          <wp:inline distT="0" distB="0" distL="0" distR="0">
            <wp:extent cx="5229225" cy="40481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30B20C5">
      <w:pPr>
        <w:pStyle w:val="2"/>
        <w:spacing w:before="93"/>
      </w:pPr>
    </w:p>
    <w:p w14:paraId="5079C2FD">
      <w:pPr>
        <w:pStyle w:val="26"/>
        <w:numPr>
          <w:ilvl w:val="0"/>
          <w:numId w:val="4"/>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6EEBBDF8">
      <w:pPr>
        <w:spacing w:line="600" w:lineRule="exact"/>
        <w:ind w:firstLine="640" w:firstLineChars="200"/>
        <w:outlineLvl w:val="1"/>
        <w:rPr>
          <w:del w:id="0" w:author="user" w:date="2021-09-06T12:33:00Z"/>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20年本年收入合计</w:t>
      </w:r>
      <w:bookmarkStart w:id="22" w:name="_Hlk81070997"/>
      <w:r>
        <w:rPr>
          <w:rFonts w:ascii="仿宋" w:hAnsi="仿宋" w:eastAsia="仿宋"/>
          <w:sz w:val="32"/>
          <w:szCs w:val="32"/>
        </w:rPr>
        <w:t>9,482</w:t>
      </w:r>
      <w:r>
        <w:rPr>
          <w:rFonts w:hint="eastAsia" w:ascii="仿宋" w:hAnsi="仿宋" w:eastAsia="仿宋"/>
          <w:sz w:val="32"/>
          <w:szCs w:val="32"/>
        </w:rPr>
        <w:t>.</w:t>
      </w:r>
      <w:r>
        <w:rPr>
          <w:rFonts w:ascii="仿宋" w:hAnsi="仿宋" w:eastAsia="仿宋"/>
          <w:sz w:val="32"/>
          <w:szCs w:val="32"/>
        </w:rPr>
        <w:t>0</w:t>
      </w:r>
      <w:bookmarkEnd w:id="22"/>
      <w:r>
        <w:rPr>
          <w:rFonts w:ascii="仿宋" w:hAnsi="仿宋" w:eastAsia="仿宋"/>
          <w:sz w:val="32"/>
          <w:szCs w:val="32"/>
        </w:rPr>
        <w:t>2</w:t>
      </w:r>
      <w:r>
        <w:rPr>
          <w:rFonts w:hint="eastAsia" w:ascii="仿宋" w:hAnsi="仿宋" w:eastAsia="仿宋"/>
          <w:sz w:val="32"/>
          <w:szCs w:val="32"/>
        </w:rPr>
        <w:t>万元，其中：一般公共预算财政拨款收入</w:t>
      </w:r>
      <w:r>
        <w:rPr>
          <w:rFonts w:ascii="仿宋" w:hAnsi="仿宋" w:eastAsia="仿宋"/>
          <w:sz w:val="32"/>
          <w:szCs w:val="32"/>
        </w:rPr>
        <w:t>9,482</w:t>
      </w:r>
      <w:r>
        <w:rPr>
          <w:rFonts w:hint="eastAsia" w:ascii="仿宋" w:hAnsi="仿宋" w:eastAsia="仿宋"/>
          <w:sz w:val="32"/>
          <w:szCs w:val="32"/>
        </w:rPr>
        <w:t>.</w:t>
      </w:r>
      <w:r>
        <w:rPr>
          <w:rFonts w:ascii="仿宋" w:hAnsi="仿宋" w:eastAsia="仿宋"/>
          <w:sz w:val="32"/>
          <w:szCs w:val="32"/>
        </w:rPr>
        <w:t>02</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w:t>
      </w:r>
    </w:p>
    <w:p w14:paraId="57FB64C2">
      <w:pPr>
        <w:spacing w:before="93" w:line="600" w:lineRule="exact"/>
        <w:ind w:firstLine="420" w:firstLineChars="200"/>
        <w:outlineLvl w:val="1"/>
      </w:pPr>
    </w:p>
    <w:p w14:paraId="0C0673DB">
      <w:pPr>
        <w:pStyle w:val="26"/>
        <w:numPr>
          <w:ilvl w:val="0"/>
          <w:numId w:val="4"/>
        </w:numPr>
        <w:spacing w:line="600" w:lineRule="exact"/>
        <w:ind w:firstLineChars="0"/>
        <w:outlineLvl w:val="1"/>
        <w:rPr>
          <w:rStyle w:val="28"/>
          <w:rFonts w:ascii="黑体" w:hAnsi="黑体" w:eastAsia="黑体"/>
          <w:b w:val="0"/>
        </w:rPr>
      </w:pPr>
      <w:bookmarkStart w:id="23" w:name="_Toc15396605"/>
      <w:bookmarkStart w:id="24" w:name="_Toc15377207"/>
      <w:r>
        <w:rPr>
          <w:rFonts w:hint="eastAsia" w:ascii="黑体" w:hAnsi="黑体" w:eastAsia="黑体"/>
          <w:sz w:val="32"/>
          <w:szCs w:val="32"/>
        </w:rPr>
        <w:t>支</w:t>
      </w:r>
      <w:r>
        <w:rPr>
          <w:rStyle w:val="28"/>
          <w:rFonts w:hint="eastAsia" w:ascii="黑体" w:hAnsi="黑体" w:eastAsia="黑体"/>
          <w:b w:val="0"/>
        </w:rPr>
        <w:t>出决算情况说明</w:t>
      </w:r>
      <w:bookmarkEnd w:id="23"/>
      <w:bookmarkEnd w:id="24"/>
    </w:p>
    <w:p w14:paraId="16CFD71F">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20年本年支出合计9,</w:t>
      </w:r>
      <w:r>
        <w:rPr>
          <w:rFonts w:ascii="仿宋" w:hAnsi="仿宋" w:eastAsia="仿宋"/>
          <w:sz w:val="32"/>
          <w:szCs w:val="32"/>
        </w:rPr>
        <w:t>482</w:t>
      </w:r>
      <w:r>
        <w:rPr>
          <w:rFonts w:hint="eastAsia" w:ascii="仿宋" w:hAnsi="仿宋" w:eastAsia="仿宋"/>
          <w:sz w:val="32"/>
          <w:szCs w:val="32"/>
        </w:rPr>
        <w:t>.</w:t>
      </w:r>
      <w:r>
        <w:rPr>
          <w:rFonts w:ascii="仿宋" w:hAnsi="仿宋" w:eastAsia="仿宋"/>
          <w:sz w:val="32"/>
          <w:szCs w:val="32"/>
        </w:rPr>
        <w:t>02</w:t>
      </w:r>
      <w:r>
        <w:rPr>
          <w:rFonts w:hint="eastAsia" w:ascii="仿宋" w:hAnsi="仿宋" w:eastAsia="仿宋"/>
          <w:sz w:val="32"/>
          <w:szCs w:val="32"/>
        </w:rPr>
        <w:t>万元，其中：基本支出</w:t>
      </w:r>
      <w:r>
        <w:rPr>
          <w:rFonts w:ascii="仿宋" w:hAnsi="仿宋" w:eastAsia="仿宋"/>
          <w:sz w:val="32"/>
          <w:szCs w:val="32"/>
        </w:rPr>
        <w:t>714</w:t>
      </w:r>
      <w:r>
        <w:rPr>
          <w:rFonts w:hint="eastAsia" w:ascii="仿宋" w:hAnsi="仿宋" w:eastAsia="仿宋"/>
          <w:sz w:val="32"/>
          <w:szCs w:val="32"/>
        </w:rPr>
        <w:t>.</w:t>
      </w:r>
      <w:r>
        <w:rPr>
          <w:rFonts w:ascii="仿宋" w:hAnsi="仿宋" w:eastAsia="仿宋"/>
          <w:sz w:val="32"/>
          <w:szCs w:val="32"/>
        </w:rPr>
        <w:t>15</w:t>
      </w:r>
      <w:r>
        <w:rPr>
          <w:rFonts w:hint="eastAsia" w:ascii="仿宋" w:hAnsi="仿宋" w:eastAsia="仿宋"/>
          <w:sz w:val="32"/>
          <w:szCs w:val="32"/>
        </w:rPr>
        <w:t>万元，占</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53%</w:t>
      </w:r>
      <w:r>
        <w:rPr>
          <w:rFonts w:hint="eastAsia" w:ascii="仿宋" w:hAnsi="仿宋" w:eastAsia="仿宋"/>
          <w:sz w:val="32"/>
          <w:szCs w:val="32"/>
        </w:rPr>
        <w:t>；项目支出</w:t>
      </w:r>
      <w:r>
        <w:rPr>
          <w:rFonts w:ascii="仿宋" w:hAnsi="仿宋" w:eastAsia="仿宋"/>
          <w:sz w:val="32"/>
          <w:szCs w:val="32"/>
        </w:rPr>
        <w:t>8,767</w:t>
      </w:r>
      <w:r>
        <w:rPr>
          <w:rFonts w:hint="eastAsia" w:ascii="仿宋" w:hAnsi="仿宋" w:eastAsia="仿宋"/>
          <w:sz w:val="32"/>
          <w:szCs w:val="32"/>
        </w:rPr>
        <w:t>.</w:t>
      </w:r>
      <w:r>
        <w:rPr>
          <w:rFonts w:ascii="仿宋" w:hAnsi="仿宋" w:eastAsia="仿宋"/>
          <w:sz w:val="32"/>
          <w:szCs w:val="32"/>
        </w:rPr>
        <w:t>87</w:t>
      </w:r>
      <w:r>
        <w:rPr>
          <w:rFonts w:hint="eastAsia" w:ascii="仿宋" w:hAnsi="仿宋" w:eastAsia="仿宋"/>
          <w:sz w:val="32"/>
          <w:szCs w:val="32"/>
        </w:rPr>
        <w:t>万元，占</w:t>
      </w:r>
      <w:r>
        <w:rPr>
          <w:rFonts w:ascii="仿宋" w:hAnsi="仿宋" w:eastAsia="仿宋"/>
          <w:sz w:val="32"/>
          <w:szCs w:val="32"/>
        </w:rPr>
        <w:t>92</w:t>
      </w:r>
      <w:r>
        <w:rPr>
          <w:rFonts w:hint="eastAsia" w:ascii="仿宋" w:hAnsi="仿宋" w:eastAsia="仿宋"/>
          <w:sz w:val="32"/>
          <w:szCs w:val="32"/>
        </w:rPr>
        <w:t>.</w:t>
      </w:r>
      <w:r>
        <w:rPr>
          <w:rFonts w:ascii="仿宋" w:hAnsi="仿宋" w:eastAsia="仿宋"/>
          <w:sz w:val="32"/>
          <w:szCs w:val="32"/>
        </w:rPr>
        <w:t>47%</w:t>
      </w:r>
      <w:r>
        <w:rPr>
          <w:rFonts w:hint="eastAsia" w:ascii="仿宋" w:hAnsi="仿宋" w:eastAsia="仿宋"/>
          <w:sz w:val="32"/>
          <w:szCs w:val="32"/>
        </w:rPr>
        <w:t>。</w:t>
      </w:r>
    </w:p>
    <w:p w14:paraId="14598CD7">
      <w:pPr>
        <w:spacing w:line="600" w:lineRule="exact"/>
        <w:ind w:firstLine="643" w:firstLineChars="200"/>
        <w:outlineLvl w:val="1"/>
        <w:rPr>
          <w:del w:id="1" w:author="user" w:date="2021-09-06T12:35:00Z"/>
          <w:rFonts w:ascii="仿宋" w:hAnsi="仿宋" w:eastAsia="仿宋"/>
          <w:b/>
          <w:sz w:val="32"/>
          <w:szCs w:val="32"/>
        </w:rPr>
      </w:pPr>
      <w:del w:id="2" w:author="user" w:date="2021-09-06T12:35:00Z">
        <w:r>
          <w:rPr>
            <w:rFonts w:hint="eastAsia" w:ascii="仿宋" w:hAnsi="仿宋" w:eastAsia="仿宋"/>
            <w:b/>
            <w:sz w:val="32"/>
            <w:szCs w:val="32"/>
          </w:rPr>
          <w:delText>（注：数据来源于财决</w:delText>
        </w:r>
      </w:del>
      <w:del w:id="3" w:author="user" w:date="2021-09-06T12:35:00Z">
        <w:r>
          <w:rPr>
            <w:rFonts w:ascii="仿宋" w:hAnsi="仿宋" w:eastAsia="仿宋"/>
            <w:b/>
            <w:sz w:val="32"/>
            <w:szCs w:val="32"/>
          </w:rPr>
          <w:delText>04</w:delText>
        </w:r>
      </w:del>
      <w:del w:id="4" w:author="user" w:date="2021-09-06T12:35:00Z">
        <w:r>
          <w:rPr>
            <w:rFonts w:hint="eastAsia" w:ascii="仿宋" w:hAnsi="仿宋" w:eastAsia="仿宋"/>
            <w:b/>
            <w:sz w:val="32"/>
            <w:szCs w:val="32"/>
          </w:rPr>
          <w:delText>表）</w:delText>
        </w:r>
      </w:del>
    </w:p>
    <w:p w14:paraId="46E98B2E">
      <w:pPr>
        <w:pStyle w:val="2"/>
        <w:spacing w:before="93"/>
      </w:pPr>
      <w:r>
        <w:rPr>
          <w:sz w:val="32"/>
          <w:szCs w:val="32"/>
        </w:rPr>
        <w:drawing>
          <wp:inline distT="0" distB="0" distL="0" distR="0">
            <wp:extent cx="5274310" cy="4001135"/>
            <wp:effectExtent l="38100" t="0" r="40640"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ABED5F">
      <w:pPr>
        <w:spacing w:line="600" w:lineRule="exact"/>
        <w:ind w:firstLine="640" w:firstLineChars="200"/>
        <w:outlineLvl w:val="1"/>
        <w:rPr>
          <w:rStyle w:val="28"/>
          <w:rFonts w:ascii="黑体" w:hAnsi="黑体" w:eastAsia="黑体"/>
          <w:b w:val="0"/>
        </w:rPr>
      </w:pPr>
      <w:bookmarkStart w:id="25" w:name="_Toc15377208"/>
      <w:bookmarkStart w:id="26"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5"/>
      <w:bookmarkEnd w:id="26"/>
    </w:p>
    <w:p w14:paraId="2E873A37">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20年财政拨款收、支总计</w:t>
      </w:r>
      <w:r>
        <w:rPr>
          <w:rFonts w:ascii="仿宋" w:hAnsi="仿宋" w:eastAsia="仿宋"/>
          <w:sz w:val="32"/>
          <w:szCs w:val="32"/>
        </w:rPr>
        <w:t>18,964.04</w:t>
      </w:r>
      <w:r>
        <w:rPr>
          <w:rFonts w:hint="eastAsia" w:ascii="仿宋" w:hAnsi="仿宋" w:eastAsia="仿宋"/>
          <w:sz w:val="32"/>
          <w:szCs w:val="32"/>
        </w:rPr>
        <w:t>万元。与</w:t>
      </w:r>
      <w:r>
        <w:rPr>
          <w:rFonts w:ascii="仿宋" w:hAnsi="仿宋" w:eastAsia="仿宋"/>
          <w:sz w:val="32"/>
          <w:szCs w:val="32"/>
        </w:rPr>
        <w:t>201</w:t>
      </w:r>
      <w:r>
        <w:rPr>
          <w:rFonts w:hint="eastAsia" w:ascii="仿宋" w:hAnsi="仿宋" w:eastAsia="仿宋"/>
          <w:sz w:val="32"/>
          <w:szCs w:val="32"/>
        </w:rPr>
        <w:t>9年相比，财政拨款收、支总计各增加</w:t>
      </w:r>
      <w:r>
        <w:rPr>
          <w:rFonts w:ascii="仿宋" w:hAnsi="仿宋" w:eastAsia="仿宋"/>
          <w:sz w:val="32"/>
          <w:szCs w:val="32"/>
        </w:rPr>
        <w:t>12,406.69</w:t>
      </w:r>
      <w:r>
        <w:rPr>
          <w:rFonts w:hint="eastAsia" w:ascii="仿宋" w:hAnsi="仿宋" w:eastAsia="仿宋"/>
          <w:sz w:val="32"/>
          <w:szCs w:val="32"/>
        </w:rPr>
        <w:t>万元，增长</w:t>
      </w:r>
      <w:r>
        <w:rPr>
          <w:rFonts w:ascii="仿宋" w:hAnsi="仿宋" w:eastAsia="仿宋"/>
          <w:sz w:val="32"/>
          <w:szCs w:val="32"/>
        </w:rPr>
        <w:t>189.20%</w:t>
      </w:r>
      <w:r>
        <w:rPr>
          <w:rFonts w:hint="eastAsia" w:ascii="仿宋" w:hAnsi="仿宋" w:eastAsia="仿宋"/>
          <w:sz w:val="32"/>
          <w:szCs w:val="32"/>
        </w:rPr>
        <w:t>。主要变动原因是2</w:t>
      </w:r>
      <w:r>
        <w:rPr>
          <w:rFonts w:ascii="仿宋" w:hAnsi="仿宋" w:eastAsia="仿宋"/>
          <w:sz w:val="32"/>
          <w:szCs w:val="32"/>
        </w:rPr>
        <w:t>020年财政拨付结算中心基本建设资金</w:t>
      </w:r>
      <w:r>
        <w:rPr>
          <w:rFonts w:hint="eastAsia" w:ascii="仿宋" w:hAnsi="仿宋" w:eastAsia="仿宋"/>
          <w:sz w:val="32"/>
          <w:szCs w:val="32"/>
        </w:rPr>
        <w:t>8,</w:t>
      </w:r>
      <w:r>
        <w:rPr>
          <w:rFonts w:ascii="仿宋" w:hAnsi="仿宋" w:eastAsia="仿宋"/>
          <w:sz w:val="32"/>
          <w:szCs w:val="32"/>
        </w:rPr>
        <w:t>710万元</w:t>
      </w:r>
      <w:r>
        <w:rPr>
          <w:rFonts w:hint="eastAsia" w:ascii="仿宋" w:hAnsi="仿宋" w:eastAsia="仿宋"/>
          <w:sz w:val="32"/>
          <w:szCs w:val="32"/>
          <w:lang w:eastAsia="zh-CN"/>
        </w:rPr>
        <w:t>，</w:t>
      </w:r>
      <w:ins w:id="5" w:author="user" w:date="2021-09-06T12:34:00Z">
        <w:r>
          <w:rPr>
            <w:rFonts w:ascii="仿宋" w:hAnsi="仿宋" w:eastAsia="仿宋"/>
            <w:sz w:val="32"/>
            <w:szCs w:val="32"/>
          </w:rPr>
          <w:t>用于</w:t>
        </w:r>
      </w:ins>
      <w:r>
        <w:rPr>
          <w:rFonts w:ascii="仿宋" w:hAnsi="仿宋" w:eastAsia="仿宋"/>
          <w:sz w:val="32"/>
          <w:szCs w:val="32"/>
        </w:rPr>
        <w:t>四川省高速公路监控结算中心和灾备中心改造建设工程项目，增长幅度较大。</w:t>
      </w:r>
    </w:p>
    <w:p w14:paraId="7E515FE7">
      <w:pPr>
        <w:pStyle w:val="2"/>
        <w:spacing w:before="93"/>
      </w:pPr>
    </w:p>
    <w:p w14:paraId="6B5074BC">
      <w:pPr>
        <w:pStyle w:val="2"/>
        <w:spacing w:before="93"/>
      </w:pPr>
      <w:r>
        <w:rPr>
          <w:rFonts w:ascii="仿宋" w:hAnsi="仿宋" w:eastAsia="仿宋"/>
          <w:b/>
          <w:sz w:val="32"/>
          <w:szCs w:val="32"/>
        </w:rPr>
        <w:drawing>
          <wp:inline distT="0" distB="0" distL="0" distR="0">
            <wp:extent cx="5274310" cy="3076575"/>
            <wp:effectExtent l="0" t="0" r="254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154E70">
      <w:pPr>
        <w:pStyle w:val="2"/>
        <w:spacing w:before="93"/>
      </w:pPr>
    </w:p>
    <w:p w14:paraId="18E57C56">
      <w:pPr>
        <w:spacing w:line="600" w:lineRule="exact"/>
        <w:ind w:firstLine="640" w:firstLineChars="200"/>
        <w:outlineLvl w:val="1"/>
        <w:rPr>
          <w:rStyle w:val="28"/>
          <w:rFonts w:ascii="黑体" w:hAnsi="黑体" w:eastAsia="黑体"/>
          <w:b w:val="0"/>
        </w:rPr>
      </w:pPr>
      <w:bookmarkStart w:id="27" w:name="_Toc15396607"/>
      <w:bookmarkStart w:id="28"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7"/>
      <w:bookmarkEnd w:id="28"/>
    </w:p>
    <w:p w14:paraId="539342FA">
      <w:pPr>
        <w:spacing w:line="600" w:lineRule="exact"/>
        <w:ind w:firstLine="643"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14:paraId="616576D3">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w:t>
      </w:r>
      <w:r>
        <w:rPr>
          <w:rFonts w:hint="eastAsia" w:ascii="仿宋" w:hAnsi="仿宋" w:eastAsia="仿宋"/>
          <w:sz w:val="32"/>
          <w:szCs w:val="32"/>
          <w:lang w:val="en-US" w:eastAsia="zh-CN"/>
        </w:rPr>
        <w:t>算</w:t>
      </w:r>
      <w:r>
        <w:rPr>
          <w:rFonts w:hint="eastAsia" w:ascii="仿宋" w:hAnsi="仿宋" w:eastAsia="仿宋"/>
          <w:sz w:val="32"/>
          <w:szCs w:val="32"/>
        </w:rPr>
        <w:t>财政拨款支出</w:t>
      </w:r>
      <w:r>
        <w:rPr>
          <w:rFonts w:ascii="仿宋" w:hAnsi="仿宋" w:eastAsia="仿宋"/>
          <w:sz w:val="32"/>
          <w:szCs w:val="32"/>
        </w:rPr>
        <w:t>9</w:t>
      </w:r>
      <w:r>
        <w:rPr>
          <w:rFonts w:hint="eastAsia" w:ascii="仿宋" w:hAnsi="仿宋" w:eastAsia="仿宋"/>
          <w:sz w:val="32"/>
          <w:szCs w:val="32"/>
        </w:rPr>
        <w:t>,</w:t>
      </w:r>
      <w:r>
        <w:rPr>
          <w:rFonts w:ascii="仿宋" w:hAnsi="仿宋" w:eastAsia="仿宋"/>
          <w:sz w:val="32"/>
          <w:szCs w:val="32"/>
        </w:rPr>
        <w:t>482.02</w:t>
      </w:r>
      <w:r>
        <w:rPr>
          <w:rFonts w:hint="eastAsia" w:ascii="仿宋" w:hAnsi="仿宋" w:eastAsia="仿宋"/>
          <w:sz w:val="32"/>
          <w:szCs w:val="32"/>
        </w:rPr>
        <w:t>万元，占本年支出合计的</w:t>
      </w:r>
      <w:r>
        <w:rPr>
          <w:rFonts w:ascii="仿宋" w:hAnsi="仿宋" w:eastAsia="仿宋"/>
          <w:sz w:val="32"/>
          <w:szCs w:val="32"/>
        </w:rPr>
        <w:t>100%</w:t>
      </w:r>
      <w:r>
        <w:rPr>
          <w:rFonts w:hint="eastAsia" w:ascii="仿宋" w:hAnsi="仿宋" w:eastAsia="仿宋"/>
          <w:sz w:val="32"/>
          <w:szCs w:val="32"/>
        </w:rPr>
        <w:t>。与</w:t>
      </w:r>
      <w:r>
        <w:rPr>
          <w:rFonts w:ascii="仿宋" w:hAnsi="仿宋" w:eastAsia="仿宋"/>
          <w:sz w:val="32"/>
          <w:szCs w:val="32"/>
        </w:rPr>
        <w:t>201</w:t>
      </w:r>
      <w:r>
        <w:rPr>
          <w:rFonts w:hint="eastAsia" w:ascii="仿宋" w:hAnsi="仿宋" w:eastAsia="仿宋"/>
          <w:sz w:val="32"/>
          <w:szCs w:val="32"/>
        </w:rPr>
        <w:t>9年相比，一般公共预算财政拨款增加</w:t>
      </w:r>
      <w:r>
        <w:rPr>
          <w:rFonts w:ascii="仿宋" w:hAnsi="仿宋" w:eastAsia="仿宋"/>
          <w:sz w:val="32"/>
          <w:szCs w:val="32"/>
        </w:rPr>
        <w:t>4,289.49</w:t>
      </w:r>
      <w:r>
        <w:rPr>
          <w:rFonts w:hint="eastAsia" w:ascii="仿宋" w:hAnsi="仿宋" w:eastAsia="仿宋"/>
          <w:sz w:val="32"/>
          <w:szCs w:val="32"/>
        </w:rPr>
        <w:t>万元，增长</w:t>
      </w:r>
      <w:r>
        <w:rPr>
          <w:rFonts w:ascii="仿宋" w:hAnsi="仿宋" w:eastAsia="仿宋"/>
          <w:sz w:val="32"/>
          <w:szCs w:val="32"/>
        </w:rPr>
        <w:t>82.61%</w:t>
      </w:r>
      <w:r>
        <w:rPr>
          <w:rFonts w:hint="eastAsia" w:ascii="仿宋" w:hAnsi="仿宋" w:eastAsia="仿宋"/>
          <w:sz w:val="32"/>
          <w:szCs w:val="32"/>
        </w:rPr>
        <w:t>。主要变动原因是</w:t>
      </w:r>
      <w:r>
        <w:rPr>
          <w:rFonts w:ascii="仿宋" w:hAnsi="仿宋" w:eastAsia="仿宋"/>
          <w:sz w:val="32"/>
          <w:szCs w:val="32"/>
        </w:rPr>
        <w:t>结算中心按合同支付建设项目工程款超过</w:t>
      </w:r>
      <w:r>
        <w:rPr>
          <w:rFonts w:hint="eastAsia" w:ascii="仿宋" w:hAnsi="仿宋" w:eastAsia="仿宋"/>
          <w:sz w:val="32"/>
          <w:szCs w:val="32"/>
        </w:rPr>
        <w:t>2</w:t>
      </w:r>
      <w:r>
        <w:rPr>
          <w:rFonts w:ascii="仿宋" w:hAnsi="仿宋" w:eastAsia="仿宋"/>
          <w:sz w:val="32"/>
          <w:szCs w:val="32"/>
        </w:rPr>
        <w:t>019年该项目的支出数。</w:t>
      </w:r>
    </w:p>
    <w:p w14:paraId="7A074FA9">
      <w:pPr>
        <w:pStyle w:val="2"/>
        <w:spacing w:before="93"/>
      </w:pPr>
      <w:r>
        <w:rPr>
          <w:rFonts w:ascii="仿宋" w:hAnsi="仿宋" w:eastAsia="仿宋"/>
          <w:sz w:val="32"/>
          <w:szCs w:val="32"/>
        </w:rPr>
        <w:drawing>
          <wp:inline distT="0" distB="0" distL="0" distR="0">
            <wp:extent cx="5274310" cy="3076575"/>
            <wp:effectExtent l="0" t="0" r="254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8D1EC2">
      <w:pPr>
        <w:pStyle w:val="2"/>
        <w:spacing w:before="93"/>
      </w:pPr>
    </w:p>
    <w:p w14:paraId="18F5E9ED">
      <w:pPr>
        <w:pStyle w:val="2"/>
        <w:spacing w:before="93"/>
      </w:pPr>
    </w:p>
    <w:p w14:paraId="628DEA26">
      <w:pPr>
        <w:spacing w:line="600" w:lineRule="exact"/>
        <w:ind w:firstLine="643" w:firstLineChars="2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14:paraId="07A36658">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20年一般公共预算财政拨款支出</w:t>
      </w:r>
      <w:r>
        <w:rPr>
          <w:rFonts w:ascii="仿宋" w:hAnsi="仿宋" w:eastAsia="仿宋"/>
          <w:sz w:val="32"/>
          <w:szCs w:val="32"/>
        </w:rPr>
        <w:t>9,482</w:t>
      </w:r>
      <w:r>
        <w:rPr>
          <w:rFonts w:hint="eastAsia" w:ascii="仿宋" w:hAnsi="仿宋" w:eastAsia="仿宋"/>
          <w:sz w:val="32"/>
          <w:szCs w:val="32"/>
        </w:rPr>
        <w:t>.</w:t>
      </w:r>
      <w:r>
        <w:rPr>
          <w:rFonts w:ascii="仿宋" w:hAnsi="仿宋" w:eastAsia="仿宋"/>
          <w:sz w:val="32"/>
          <w:szCs w:val="32"/>
        </w:rPr>
        <w:t>02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教育支出（类）</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96</w:t>
      </w:r>
      <w:r>
        <w:rPr>
          <w:rFonts w:hint="eastAsia" w:ascii="仿宋" w:hAnsi="仿宋" w:eastAsia="仿宋"/>
          <w:sz w:val="32"/>
          <w:szCs w:val="32"/>
        </w:rPr>
        <w:t>万元，占0</w:t>
      </w:r>
      <w:r>
        <w:rPr>
          <w:rFonts w:ascii="仿宋" w:hAnsi="仿宋" w:eastAsia="仿宋"/>
          <w:sz w:val="32"/>
          <w:szCs w:val="32"/>
        </w:rPr>
        <w:t>.01%</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85</w:t>
      </w:r>
      <w:r>
        <w:rPr>
          <w:rFonts w:hint="eastAsia" w:ascii="仿宋" w:hAnsi="仿宋" w:eastAsia="仿宋"/>
          <w:sz w:val="32"/>
          <w:szCs w:val="32"/>
        </w:rPr>
        <w:t>.</w:t>
      </w:r>
      <w:r>
        <w:rPr>
          <w:rFonts w:ascii="仿宋" w:hAnsi="仿宋" w:eastAsia="仿宋"/>
          <w:sz w:val="32"/>
          <w:szCs w:val="32"/>
        </w:rPr>
        <w:t>68</w:t>
      </w:r>
      <w:r>
        <w:rPr>
          <w:rFonts w:hint="eastAsia" w:ascii="仿宋" w:hAnsi="仿宋" w:eastAsia="仿宋"/>
          <w:sz w:val="32"/>
          <w:szCs w:val="32"/>
        </w:rPr>
        <w:t>万元，占0</w:t>
      </w:r>
      <w:r>
        <w:rPr>
          <w:rFonts w:ascii="仿宋" w:hAnsi="仿宋" w:eastAsia="仿宋"/>
          <w:sz w:val="32"/>
          <w:szCs w:val="32"/>
        </w:rPr>
        <w:t>.90%</w:t>
      </w:r>
      <w:r>
        <w:rPr>
          <w:rFonts w:hint="eastAsia" w:ascii="仿宋" w:hAnsi="仿宋" w:eastAsia="仿宋"/>
          <w:sz w:val="32"/>
          <w:szCs w:val="32"/>
        </w:rPr>
        <w:t>；</w:t>
      </w:r>
      <w:r>
        <w:rPr>
          <w:rFonts w:hint="eastAsia" w:ascii="仿宋" w:hAnsi="仿宋" w:eastAsia="仿宋"/>
          <w:b/>
          <w:bCs/>
          <w:sz w:val="32"/>
          <w:szCs w:val="32"/>
        </w:rPr>
        <w:t>交通运输支出（类）</w:t>
      </w:r>
      <w:r>
        <w:rPr>
          <w:rFonts w:hint="eastAsia" w:ascii="仿宋" w:hAnsi="仿宋" w:eastAsia="仿宋"/>
          <w:sz w:val="32"/>
          <w:szCs w:val="32"/>
        </w:rPr>
        <w:t>9</w:t>
      </w:r>
      <w:r>
        <w:rPr>
          <w:rFonts w:ascii="仿宋" w:hAnsi="仿宋" w:eastAsia="仿宋"/>
          <w:sz w:val="32"/>
          <w:szCs w:val="32"/>
        </w:rPr>
        <w:t>,308</w:t>
      </w:r>
      <w:r>
        <w:rPr>
          <w:rFonts w:hint="eastAsia" w:ascii="仿宋" w:hAnsi="仿宋" w:eastAsia="仿宋"/>
          <w:sz w:val="32"/>
          <w:szCs w:val="32"/>
        </w:rPr>
        <w:t>.4</w:t>
      </w:r>
      <w:r>
        <w:rPr>
          <w:rFonts w:ascii="仿宋" w:hAnsi="仿宋" w:eastAsia="仿宋"/>
          <w:sz w:val="32"/>
          <w:szCs w:val="32"/>
        </w:rPr>
        <w:t>0</w:t>
      </w:r>
      <w:r>
        <w:rPr>
          <w:rFonts w:hint="eastAsia" w:ascii="仿宋" w:hAnsi="仿宋" w:eastAsia="仿宋"/>
          <w:sz w:val="32"/>
          <w:szCs w:val="32"/>
        </w:rPr>
        <w:t>万元，占9</w:t>
      </w:r>
      <w:r>
        <w:rPr>
          <w:rFonts w:ascii="仿宋" w:hAnsi="仿宋" w:eastAsia="仿宋"/>
          <w:sz w:val="32"/>
          <w:szCs w:val="32"/>
        </w:rPr>
        <w:t>8.17</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44</w:t>
      </w:r>
      <w:bookmarkStart w:id="31" w:name="_Hlk81072170"/>
      <w:r>
        <w:rPr>
          <w:rFonts w:hint="eastAsia" w:ascii="仿宋" w:hAnsi="仿宋" w:eastAsia="仿宋"/>
          <w:sz w:val="32"/>
          <w:szCs w:val="32"/>
        </w:rPr>
        <w:t>.</w:t>
      </w:r>
      <w:bookmarkEnd w:id="31"/>
      <w:r>
        <w:rPr>
          <w:rFonts w:ascii="仿宋" w:hAnsi="仿宋" w:eastAsia="仿宋"/>
          <w:sz w:val="32"/>
          <w:szCs w:val="32"/>
        </w:rPr>
        <w:t>32</w:t>
      </w:r>
      <w:r>
        <w:rPr>
          <w:rFonts w:hint="eastAsia" w:ascii="仿宋" w:hAnsi="仿宋" w:eastAsia="仿宋"/>
          <w:sz w:val="32"/>
          <w:szCs w:val="32"/>
        </w:rPr>
        <w:t>万元，占0</w:t>
      </w:r>
      <w:r>
        <w:rPr>
          <w:rFonts w:ascii="仿宋" w:hAnsi="仿宋" w:eastAsia="仿宋"/>
          <w:sz w:val="32"/>
          <w:szCs w:val="32"/>
        </w:rPr>
        <w:t>.47%</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（类）</w:t>
      </w:r>
      <w:r>
        <w:rPr>
          <w:rFonts w:ascii="仿宋" w:hAnsi="仿宋" w:eastAsia="仿宋"/>
          <w:sz w:val="32"/>
          <w:szCs w:val="32"/>
        </w:rPr>
        <w:t>42</w:t>
      </w:r>
      <w:r>
        <w:rPr>
          <w:rFonts w:hint="eastAsia" w:ascii="仿宋" w:hAnsi="仿宋" w:eastAsia="仿宋"/>
          <w:sz w:val="32"/>
          <w:szCs w:val="32"/>
        </w:rPr>
        <w:t>.</w:t>
      </w:r>
      <w:r>
        <w:rPr>
          <w:rFonts w:ascii="仿宋" w:hAnsi="仿宋" w:eastAsia="仿宋"/>
          <w:sz w:val="32"/>
          <w:szCs w:val="32"/>
        </w:rPr>
        <w:t>66</w:t>
      </w:r>
      <w:r>
        <w:rPr>
          <w:rFonts w:hint="eastAsia" w:ascii="仿宋" w:hAnsi="仿宋" w:eastAsia="仿宋"/>
          <w:sz w:val="32"/>
          <w:szCs w:val="32"/>
        </w:rPr>
        <w:t>万元，占0</w:t>
      </w:r>
      <w:r>
        <w:rPr>
          <w:rFonts w:ascii="仿宋" w:hAnsi="仿宋" w:eastAsia="仿宋"/>
          <w:sz w:val="32"/>
          <w:szCs w:val="32"/>
        </w:rPr>
        <w:t>.45%</w:t>
      </w:r>
      <w:r>
        <w:rPr>
          <w:rFonts w:hint="eastAsia" w:ascii="仿宋" w:hAnsi="仿宋" w:eastAsia="仿宋"/>
          <w:sz w:val="32"/>
          <w:szCs w:val="32"/>
        </w:rPr>
        <w:t>。</w:t>
      </w:r>
    </w:p>
    <w:p w14:paraId="5D48CB37">
      <w:pPr>
        <w:pStyle w:val="2"/>
        <w:spacing w:before="93"/>
      </w:pPr>
    </w:p>
    <w:p w14:paraId="395E9E09">
      <w:pPr>
        <w:pStyle w:val="2"/>
        <w:spacing w:before="93"/>
      </w:pPr>
      <w:r>
        <w:drawing>
          <wp:inline distT="0" distB="0" distL="0" distR="0">
            <wp:extent cx="5181600" cy="3867150"/>
            <wp:effectExtent l="4445" t="4445" r="1079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C07D31">
      <w:pPr>
        <w:spacing w:line="600" w:lineRule="exact"/>
        <w:ind w:firstLine="643" w:firstLineChars="200"/>
        <w:outlineLvl w:val="2"/>
        <w:rPr>
          <w:rFonts w:hint="eastAsia" w:ascii="仿宋" w:hAnsi="仿宋" w:eastAsia="仿宋"/>
          <w:b/>
          <w:sz w:val="32"/>
          <w:szCs w:val="32"/>
        </w:rPr>
      </w:pPr>
      <w:bookmarkStart w:id="32" w:name="_Toc15377212"/>
    </w:p>
    <w:p w14:paraId="55550C1A">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2"/>
    </w:p>
    <w:p w14:paraId="27B332B8">
      <w:pPr>
        <w:spacing w:line="600" w:lineRule="exact"/>
        <w:ind w:firstLine="643" w:firstLineChars="200"/>
        <w:outlineLvl w:val="2"/>
        <w:rPr>
          <w:rFonts w:ascii="仿宋" w:hAnsi="仿宋" w:eastAsia="仿宋"/>
          <w:sz w:val="32"/>
          <w:szCs w:val="32"/>
        </w:rPr>
      </w:pPr>
      <w:bookmarkStart w:id="33" w:name="_Toc15378460"/>
      <w:bookmarkStart w:id="34" w:name="_Toc15377444"/>
      <w:bookmarkStart w:id="35" w:name="_Toc15377213"/>
      <w:r>
        <w:rPr>
          <w:rFonts w:hint="eastAsia" w:ascii="仿宋" w:hAnsi="仿宋" w:eastAsia="仿宋"/>
          <w:b/>
          <w:sz w:val="32"/>
          <w:szCs w:val="32"/>
        </w:rPr>
        <w:t>2020年一般公共预算支出决算数为</w:t>
      </w:r>
      <w:r>
        <w:rPr>
          <w:rFonts w:ascii="仿宋" w:hAnsi="仿宋" w:eastAsia="仿宋"/>
          <w:b/>
          <w:sz w:val="32"/>
          <w:szCs w:val="32"/>
        </w:rPr>
        <w:t>9,482.02</w:t>
      </w:r>
      <w:r>
        <w:rPr>
          <w:rFonts w:hint="eastAsia" w:ascii="仿宋" w:hAnsi="仿宋" w:eastAsia="仿宋"/>
          <w:b/>
          <w:sz w:val="32"/>
          <w:szCs w:val="32"/>
        </w:rPr>
        <w:t>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ascii="仿宋" w:hAnsi="仿宋" w:eastAsia="仿宋"/>
          <w:bCs/>
          <w:sz w:val="32"/>
          <w:szCs w:val="32"/>
        </w:rPr>
        <w:t>100%</w:t>
      </w:r>
      <w:r>
        <w:rPr>
          <w:rStyle w:val="16"/>
          <w:rFonts w:hint="eastAsia" w:ascii="仿宋" w:hAnsi="仿宋" w:eastAsia="仿宋"/>
          <w:bCs/>
          <w:sz w:val="32"/>
          <w:szCs w:val="32"/>
        </w:rPr>
        <w:t>。其中：</w:t>
      </w:r>
      <w:bookmarkEnd w:id="33"/>
      <w:bookmarkEnd w:id="34"/>
      <w:bookmarkEnd w:id="35"/>
    </w:p>
    <w:p w14:paraId="14A91181">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Fonts w:ascii="仿宋" w:hAnsi="仿宋" w:eastAsia="仿宋"/>
          <w:b/>
          <w:sz w:val="32"/>
          <w:szCs w:val="32"/>
        </w:rPr>
        <w:t xml:space="preserve"> </w:t>
      </w:r>
      <w:r>
        <w:rPr>
          <w:rStyle w:val="16"/>
          <w:rFonts w:hint="eastAsia" w:ascii="仿宋" w:hAnsi="仿宋" w:eastAsia="仿宋"/>
          <w:bCs/>
          <w:sz w:val="32"/>
          <w:szCs w:val="32"/>
        </w:rPr>
        <w:t>教育（类）进修及培训（款）培训支出（项）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ascii="仿宋" w:hAnsi="仿宋" w:eastAsia="仿宋"/>
          <w:b w:val="0"/>
          <w:bCs/>
          <w:sz w:val="32"/>
          <w:szCs w:val="32"/>
        </w:rPr>
        <w:t>0</w:t>
      </w:r>
      <w:r>
        <w:rPr>
          <w:rStyle w:val="16"/>
          <w:rFonts w:hint="eastAsia" w:ascii="仿宋" w:hAnsi="仿宋" w:eastAsia="仿宋"/>
          <w:b w:val="0"/>
          <w:bCs/>
          <w:sz w:val="32"/>
          <w:szCs w:val="32"/>
        </w:rPr>
        <w:t>.9</w:t>
      </w:r>
      <w:r>
        <w:rPr>
          <w:rStyle w:val="16"/>
          <w:rFonts w:ascii="仿宋" w:hAnsi="仿宋" w:eastAsia="仿宋"/>
          <w:b w:val="0"/>
          <w:bCs/>
          <w:sz w:val="32"/>
          <w:szCs w:val="32"/>
        </w:rPr>
        <w:t>6</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67BA2CBD">
      <w:pPr>
        <w:spacing w:line="600" w:lineRule="exact"/>
        <w:ind w:firstLine="643" w:firstLineChars="200"/>
        <w:rPr>
          <w:rFonts w:ascii="仿宋" w:hAnsi="仿宋" w:eastAsia="仿宋"/>
          <w:b/>
          <w:sz w:val="32"/>
          <w:szCs w:val="32"/>
        </w:rPr>
      </w:pPr>
      <w:r>
        <w:rPr>
          <w:rStyle w:val="16"/>
          <w:rFonts w:ascii="仿宋" w:hAnsi="仿宋" w:eastAsia="仿宋"/>
          <w:bCs/>
          <w:sz w:val="32"/>
          <w:szCs w:val="32"/>
        </w:rPr>
        <w:t>2.</w:t>
      </w:r>
      <w:r>
        <w:rPr>
          <w:rFonts w:ascii="仿宋" w:hAnsi="仿宋" w:eastAsia="仿宋"/>
          <w:b/>
          <w:sz w:val="32"/>
          <w:szCs w:val="32"/>
        </w:rPr>
        <w:t xml:space="preserve"> </w:t>
      </w:r>
      <w:r>
        <w:rPr>
          <w:rStyle w:val="16"/>
          <w:rFonts w:hint="eastAsia" w:ascii="仿宋" w:hAnsi="仿宋" w:eastAsia="仿宋"/>
          <w:bCs/>
          <w:sz w:val="32"/>
          <w:szCs w:val="32"/>
        </w:rPr>
        <w:t>社会保障和就业（类）行政事业单位养老支出（款）机关事业单位基本养老保险缴费支出（项）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ascii="仿宋" w:hAnsi="仿宋" w:eastAsia="仿宋"/>
          <w:b w:val="0"/>
          <w:bCs/>
          <w:sz w:val="32"/>
          <w:szCs w:val="32"/>
        </w:rPr>
        <w:t>53</w:t>
      </w:r>
      <w:r>
        <w:rPr>
          <w:rStyle w:val="16"/>
          <w:rFonts w:hint="eastAsia" w:ascii="仿宋" w:hAnsi="仿宋" w:eastAsia="仿宋"/>
          <w:b w:val="0"/>
          <w:bCs/>
          <w:sz w:val="32"/>
          <w:szCs w:val="32"/>
        </w:rPr>
        <w:t>.</w:t>
      </w:r>
      <w:r>
        <w:rPr>
          <w:rStyle w:val="16"/>
          <w:rFonts w:ascii="仿宋" w:hAnsi="仿宋" w:eastAsia="仿宋"/>
          <w:b w:val="0"/>
          <w:bCs/>
          <w:sz w:val="32"/>
          <w:szCs w:val="32"/>
        </w:rPr>
        <w:t>52</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70FFB010">
      <w:pPr>
        <w:spacing w:line="600" w:lineRule="exact"/>
        <w:ind w:firstLine="643" w:firstLineChars="200"/>
        <w:rPr>
          <w:rFonts w:ascii="仿宋" w:hAnsi="仿宋" w:eastAsia="仿宋"/>
          <w:b/>
          <w:sz w:val="32"/>
          <w:szCs w:val="32"/>
        </w:rPr>
      </w:pPr>
      <w:r>
        <w:rPr>
          <w:rStyle w:val="16"/>
          <w:rFonts w:ascii="仿宋" w:hAnsi="仿宋" w:eastAsia="仿宋"/>
          <w:bCs/>
          <w:sz w:val="32"/>
          <w:szCs w:val="32"/>
        </w:rPr>
        <w:t>3.</w:t>
      </w:r>
      <w:bookmarkStart w:id="36" w:name="_Hlk81073761"/>
      <w:r>
        <w:rPr>
          <w:rFonts w:ascii="仿宋" w:hAnsi="仿宋" w:eastAsia="仿宋"/>
          <w:b/>
          <w:sz w:val="32"/>
          <w:szCs w:val="32"/>
        </w:rPr>
        <w:t xml:space="preserve"> </w:t>
      </w:r>
      <w:r>
        <w:rPr>
          <w:rStyle w:val="16"/>
          <w:rFonts w:hint="eastAsia" w:ascii="仿宋" w:hAnsi="仿宋" w:eastAsia="仿宋"/>
          <w:bCs/>
          <w:sz w:val="32"/>
          <w:szCs w:val="32"/>
        </w:rPr>
        <w:t>社会保障和就业（类）行政事业单位养老支出（款）机关事业单位职业年金缴费支出（项）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ascii="仿宋" w:hAnsi="仿宋" w:eastAsia="仿宋"/>
          <w:b w:val="0"/>
          <w:bCs/>
          <w:sz w:val="32"/>
          <w:szCs w:val="32"/>
        </w:rPr>
        <w:t>26</w:t>
      </w:r>
      <w:r>
        <w:rPr>
          <w:rStyle w:val="16"/>
          <w:rFonts w:hint="eastAsia" w:ascii="仿宋" w:hAnsi="仿宋" w:eastAsia="仿宋"/>
          <w:b w:val="0"/>
          <w:bCs/>
          <w:sz w:val="32"/>
          <w:szCs w:val="32"/>
        </w:rPr>
        <w:t>.</w:t>
      </w:r>
      <w:r>
        <w:rPr>
          <w:rStyle w:val="16"/>
          <w:rFonts w:ascii="仿宋" w:hAnsi="仿宋" w:eastAsia="仿宋"/>
          <w:b w:val="0"/>
          <w:bCs/>
          <w:sz w:val="32"/>
          <w:szCs w:val="32"/>
        </w:rPr>
        <w:t>78</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bookmarkEnd w:id="36"/>
    </w:p>
    <w:p w14:paraId="7101FAFD">
      <w:pPr>
        <w:spacing w:line="600" w:lineRule="exact"/>
        <w:ind w:firstLine="643" w:firstLineChars="200"/>
        <w:rPr>
          <w:rFonts w:ascii="仿宋" w:hAnsi="仿宋" w:eastAsia="仿宋"/>
          <w:b/>
          <w:sz w:val="32"/>
          <w:szCs w:val="32"/>
        </w:rPr>
      </w:pPr>
      <w:r>
        <w:rPr>
          <w:rStyle w:val="16"/>
          <w:rFonts w:ascii="仿宋" w:hAnsi="仿宋" w:eastAsia="仿宋"/>
          <w:bCs/>
          <w:sz w:val="32"/>
          <w:szCs w:val="32"/>
        </w:rPr>
        <w:t>4.</w:t>
      </w:r>
      <w:r>
        <w:rPr>
          <w:rFonts w:ascii="仿宋" w:hAnsi="仿宋" w:eastAsia="仿宋"/>
          <w:b/>
          <w:sz w:val="32"/>
          <w:szCs w:val="32"/>
        </w:rPr>
        <w:t xml:space="preserve"> </w:t>
      </w:r>
      <w:r>
        <w:rPr>
          <w:rStyle w:val="16"/>
          <w:rFonts w:hint="eastAsia" w:ascii="仿宋" w:hAnsi="仿宋" w:eastAsia="仿宋"/>
          <w:bCs/>
          <w:sz w:val="32"/>
          <w:szCs w:val="32"/>
        </w:rPr>
        <w:t>社会保障和就业（类）抚恤（款）死亡抚恤（项）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ascii="仿宋" w:hAnsi="仿宋" w:eastAsia="仿宋"/>
          <w:b w:val="0"/>
          <w:bCs/>
          <w:sz w:val="32"/>
          <w:szCs w:val="32"/>
        </w:rPr>
        <w:t>5</w:t>
      </w:r>
      <w:r>
        <w:rPr>
          <w:rStyle w:val="16"/>
          <w:rFonts w:hint="eastAsia" w:ascii="仿宋" w:hAnsi="仿宋" w:eastAsia="仿宋"/>
          <w:b w:val="0"/>
          <w:bCs/>
          <w:sz w:val="32"/>
          <w:szCs w:val="32"/>
        </w:rPr>
        <w:t>.</w:t>
      </w:r>
      <w:r>
        <w:rPr>
          <w:rStyle w:val="16"/>
          <w:rFonts w:ascii="仿宋" w:hAnsi="仿宋" w:eastAsia="仿宋"/>
          <w:b w:val="0"/>
          <w:bCs/>
          <w:sz w:val="32"/>
          <w:szCs w:val="32"/>
        </w:rPr>
        <w:t>38</w:t>
      </w:r>
      <w:r>
        <w:rPr>
          <w:rStyle w:val="16"/>
          <w:rFonts w:hint="eastAsia" w:ascii="仿宋" w:hAnsi="仿宋" w:eastAsia="仿宋"/>
          <w:b w:val="0"/>
          <w:bCs/>
          <w:sz w:val="32"/>
          <w:szCs w:val="32"/>
        </w:rPr>
        <w:t>万元，</w:t>
      </w:r>
      <w:bookmarkStart w:id="37" w:name="_Hlk81074308"/>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bookmarkEnd w:id="37"/>
    </w:p>
    <w:p w14:paraId="157A5C19">
      <w:pPr>
        <w:spacing w:line="600" w:lineRule="exact"/>
        <w:ind w:firstLine="643" w:firstLineChars="200"/>
        <w:rPr>
          <w:rFonts w:ascii="仿宋" w:hAnsi="仿宋" w:eastAsia="仿宋"/>
          <w:b/>
          <w:sz w:val="32"/>
          <w:szCs w:val="32"/>
        </w:rPr>
      </w:pPr>
      <w:r>
        <w:rPr>
          <w:rStyle w:val="16"/>
          <w:rFonts w:ascii="仿宋" w:hAnsi="仿宋" w:eastAsia="仿宋"/>
          <w:bCs/>
          <w:sz w:val="32"/>
          <w:szCs w:val="32"/>
        </w:rPr>
        <w:t>5.</w:t>
      </w:r>
      <w:bookmarkStart w:id="38" w:name="_Hlk81504499"/>
      <w:r>
        <w:rPr>
          <w:rStyle w:val="16"/>
          <w:rFonts w:ascii="仿宋" w:hAnsi="仿宋" w:eastAsia="仿宋"/>
          <w:bCs/>
          <w:sz w:val="32"/>
          <w:szCs w:val="32"/>
        </w:rPr>
        <w:t xml:space="preserve"> </w:t>
      </w:r>
      <w:r>
        <w:rPr>
          <w:rFonts w:hint="eastAsia" w:ascii="仿宋" w:hAnsi="仿宋" w:eastAsia="仿宋"/>
          <w:b/>
          <w:bCs/>
          <w:sz w:val="32"/>
          <w:szCs w:val="32"/>
        </w:rPr>
        <w:t>卫生健康</w:t>
      </w:r>
      <w:r>
        <w:rPr>
          <w:rStyle w:val="16"/>
          <w:rFonts w:hint="eastAsia" w:ascii="仿宋" w:hAnsi="仿宋" w:eastAsia="仿宋"/>
          <w:bCs/>
          <w:sz w:val="32"/>
          <w:szCs w:val="32"/>
        </w:rPr>
        <w:t>（类）行政事业医疗（款）事业单位医疗（项）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ascii="仿宋" w:hAnsi="仿宋" w:eastAsia="仿宋"/>
          <w:b w:val="0"/>
          <w:bCs/>
          <w:sz w:val="32"/>
          <w:szCs w:val="32"/>
        </w:rPr>
        <w:t>44</w:t>
      </w:r>
      <w:r>
        <w:rPr>
          <w:rStyle w:val="16"/>
          <w:rFonts w:hint="eastAsia" w:ascii="仿宋" w:hAnsi="仿宋" w:eastAsia="仿宋"/>
          <w:b w:val="0"/>
          <w:bCs/>
          <w:sz w:val="32"/>
          <w:szCs w:val="32"/>
        </w:rPr>
        <w:t>.</w:t>
      </w:r>
      <w:r>
        <w:rPr>
          <w:rStyle w:val="16"/>
          <w:rFonts w:ascii="仿宋" w:hAnsi="仿宋" w:eastAsia="仿宋"/>
          <w:b w:val="0"/>
          <w:bCs/>
          <w:sz w:val="32"/>
          <w:szCs w:val="32"/>
        </w:rPr>
        <w:t>32</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14DF73C5">
      <w:pPr>
        <w:spacing w:line="600" w:lineRule="exact"/>
        <w:ind w:firstLine="643" w:firstLineChars="200"/>
        <w:rPr>
          <w:rFonts w:ascii="仿宋" w:hAnsi="仿宋" w:eastAsia="仿宋"/>
          <w:b/>
          <w:sz w:val="32"/>
          <w:szCs w:val="32"/>
        </w:rPr>
      </w:pPr>
      <w:r>
        <w:rPr>
          <w:rStyle w:val="16"/>
          <w:rFonts w:ascii="仿宋" w:hAnsi="仿宋" w:eastAsia="仿宋"/>
          <w:bCs/>
          <w:sz w:val="32"/>
          <w:szCs w:val="32"/>
        </w:rPr>
        <w:t>6.</w:t>
      </w:r>
      <w:r>
        <w:rPr>
          <w:rFonts w:ascii="仿宋" w:hAnsi="仿宋" w:eastAsia="仿宋"/>
          <w:b/>
          <w:sz w:val="32"/>
          <w:szCs w:val="32"/>
        </w:rPr>
        <w:t xml:space="preserve"> </w:t>
      </w:r>
      <w:bookmarkStart w:id="39" w:name="_Hlk81074319"/>
      <w:r>
        <w:rPr>
          <w:rFonts w:hint="eastAsia" w:ascii="仿宋" w:hAnsi="仿宋" w:eastAsia="仿宋"/>
          <w:b/>
          <w:bCs/>
          <w:sz w:val="32"/>
          <w:szCs w:val="32"/>
        </w:rPr>
        <w:t>交通运输支出</w:t>
      </w:r>
      <w:r>
        <w:rPr>
          <w:rStyle w:val="16"/>
          <w:rFonts w:hint="eastAsia" w:ascii="仿宋" w:hAnsi="仿宋" w:eastAsia="仿宋"/>
          <w:bCs/>
          <w:sz w:val="32"/>
          <w:szCs w:val="32"/>
        </w:rPr>
        <w:t>（类）公路水路运输（款）交通运输信息化建设（项）：</w:t>
      </w:r>
      <w:r>
        <w:rPr>
          <w:rStyle w:val="16"/>
          <w:rFonts w:hint="eastAsia" w:ascii="仿宋" w:hAnsi="仿宋" w:eastAsia="仿宋"/>
          <w:b w:val="0"/>
          <w:sz w:val="32"/>
          <w:szCs w:val="32"/>
        </w:rPr>
        <w:t>支出决算为8</w:t>
      </w:r>
      <w:r>
        <w:rPr>
          <w:rStyle w:val="16"/>
          <w:rFonts w:ascii="仿宋" w:hAnsi="仿宋" w:eastAsia="仿宋"/>
          <w:b w:val="0"/>
          <w:sz w:val="32"/>
          <w:szCs w:val="32"/>
        </w:rPr>
        <w:t>725</w:t>
      </w:r>
      <w:r>
        <w:rPr>
          <w:rStyle w:val="16"/>
          <w:rFonts w:hint="eastAsia" w:ascii="仿宋" w:hAnsi="仿宋" w:eastAsia="仿宋"/>
          <w:b w:val="0"/>
          <w:sz w:val="32"/>
          <w:szCs w:val="32"/>
        </w:rPr>
        <w:t>.</w:t>
      </w:r>
      <w:r>
        <w:rPr>
          <w:rStyle w:val="16"/>
          <w:rFonts w:ascii="仿宋" w:hAnsi="仿宋" w:eastAsia="仿宋"/>
          <w:b w:val="0"/>
          <w:sz w:val="32"/>
          <w:szCs w:val="32"/>
        </w:rPr>
        <w:t>47</w:t>
      </w:r>
      <w:r>
        <w:rPr>
          <w:rStyle w:val="16"/>
          <w:rFonts w:hint="eastAsia" w:ascii="仿宋" w:hAnsi="仿宋" w:eastAsia="仿宋"/>
          <w:b w:val="0"/>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14B7C8AF">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7</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b/>
          <w:bCs/>
          <w:sz w:val="32"/>
          <w:szCs w:val="32"/>
        </w:rPr>
        <w:t>交通运输支出</w:t>
      </w:r>
      <w:r>
        <w:rPr>
          <w:rStyle w:val="16"/>
          <w:rFonts w:hint="eastAsia" w:ascii="仿宋" w:hAnsi="仿宋" w:eastAsia="仿宋"/>
          <w:bCs/>
          <w:sz w:val="32"/>
          <w:szCs w:val="32"/>
        </w:rPr>
        <w:t>（类）公路水路运输（款）其他公路水路运输支出（项）：</w:t>
      </w:r>
      <w:r>
        <w:rPr>
          <w:rStyle w:val="16"/>
          <w:rFonts w:hint="eastAsia" w:ascii="仿宋" w:hAnsi="仿宋" w:eastAsia="仿宋"/>
          <w:b w:val="0"/>
          <w:sz w:val="32"/>
          <w:szCs w:val="32"/>
        </w:rPr>
        <w:t>支出决算为</w:t>
      </w:r>
      <w:r>
        <w:rPr>
          <w:rStyle w:val="16"/>
          <w:rFonts w:ascii="仿宋" w:hAnsi="仿宋" w:eastAsia="仿宋"/>
          <w:b w:val="0"/>
          <w:sz w:val="32"/>
          <w:szCs w:val="32"/>
        </w:rPr>
        <w:t>582</w:t>
      </w:r>
      <w:r>
        <w:rPr>
          <w:rStyle w:val="16"/>
          <w:rFonts w:hint="eastAsia" w:ascii="仿宋" w:hAnsi="仿宋" w:eastAsia="仿宋"/>
          <w:b w:val="0"/>
          <w:sz w:val="32"/>
          <w:szCs w:val="32"/>
        </w:rPr>
        <w:t>.</w:t>
      </w:r>
      <w:r>
        <w:rPr>
          <w:rStyle w:val="16"/>
          <w:rFonts w:ascii="仿宋" w:hAnsi="仿宋" w:eastAsia="仿宋"/>
          <w:b w:val="0"/>
          <w:sz w:val="32"/>
          <w:szCs w:val="32"/>
        </w:rPr>
        <w:t>93</w:t>
      </w:r>
      <w:r>
        <w:rPr>
          <w:rStyle w:val="16"/>
          <w:rFonts w:hint="eastAsia" w:ascii="仿宋" w:hAnsi="仿宋" w:eastAsia="仿宋"/>
          <w:b w:val="0"/>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2306C82B">
      <w:pPr>
        <w:spacing w:line="600" w:lineRule="exact"/>
        <w:ind w:firstLine="643" w:firstLineChars="200"/>
        <w:rPr>
          <w:rFonts w:ascii="仿宋" w:hAnsi="仿宋" w:eastAsia="仿宋"/>
          <w:b/>
          <w:sz w:val="32"/>
          <w:szCs w:val="32"/>
        </w:rPr>
      </w:pPr>
      <w:r>
        <w:rPr>
          <w:rFonts w:ascii="仿宋" w:hAnsi="仿宋" w:eastAsia="仿宋"/>
          <w:b/>
          <w:bCs/>
          <w:sz w:val="32"/>
          <w:szCs w:val="32"/>
        </w:rPr>
        <w:t>8</w:t>
      </w:r>
      <w:r>
        <w:rPr>
          <w:rFonts w:hint="eastAsia" w:ascii="仿宋" w:hAnsi="仿宋" w:eastAsia="仿宋"/>
          <w:b/>
          <w:bCs/>
          <w:sz w:val="32"/>
          <w:szCs w:val="32"/>
        </w:rPr>
        <w:t>.</w:t>
      </w:r>
      <w:r>
        <w:rPr>
          <w:rFonts w:ascii="仿宋" w:hAnsi="仿宋" w:eastAsia="仿宋"/>
          <w:sz w:val="32"/>
          <w:szCs w:val="32"/>
        </w:rPr>
        <w:t xml:space="preserve"> </w:t>
      </w:r>
      <w:r>
        <w:rPr>
          <w:rFonts w:hint="eastAsia" w:ascii="仿宋" w:hAnsi="仿宋" w:eastAsia="仿宋"/>
          <w:b/>
          <w:bCs/>
          <w:sz w:val="32"/>
          <w:szCs w:val="32"/>
        </w:rPr>
        <w:t>住房保障支出</w:t>
      </w:r>
      <w:r>
        <w:rPr>
          <w:rStyle w:val="16"/>
          <w:rFonts w:hint="eastAsia" w:ascii="仿宋" w:hAnsi="仿宋" w:eastAsia="仿宋"/>
          <w:bCs/>
          <w:sz w:val="32"/>
          <w:szCs w:val="32"/>
        </w:rPr>
        <w:t>（类）住房改革支出（款）住房公积金（项）：</w:t>
      </w:r>
      <w:r>
        <w:rPr>
          <w:rStyle w:val="16"/>
          <w:rFonts w:hint="eastAsia" w:ascii="仿宋" w:hAnsi="仿宋" w:eastAsia="仿宋"/>
          <w:b w:val="0"/>
          <w:sz w:val="32"/>
          <w:szCs w:val="32"/>
        </w:rPr>
        <w:t>支出决算4</w:t>
      </w:r>
      <w:r>
        <w:rPr>
          <w:rStyle w:val="16"/>
          <w:rFonts w:ascii="仿宋" w:hAnsi="仿宋" w:eastAsia="仿宋"/>
          <w:b w:val="0"/>
          <w:sz w:val="32"/>
          <w:szCs w:val="32"/>
        </w:rPr>
        <w:t>1</w:t>
      </w:r>
      <w:r>
        <w:rPr>
          <w:rStyle w:val="16"/>
          <w:rFonts w:hint="eastAsia" w:ascii="仿宋" w:hAnsi="仿宋" w:eastAsia="仿宋"/>
          <w:b w:val="0"/>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181FE8C6">
      <w:pPr>
        <w:spacing w:line="600" w:lineRule="exact"/>
        <w:ind w:firstLine="643" w:firstLineChars="200"/>
        <w:rPr>
          <w:rFonts w:ascii="仿宋" w:hAnsi="仿宋" w:eastAsia="仿宋"/>
          <w:b/>
          <w:sz w:val="32"/>
          <w:szCs w:val="32"/>
        </w:rPr>
      </w:pPr>
      <w:r>
        <w:rPr>
          <w:rFonts w:ascii="仿宋" w:hAnsi="仿宋" w:eastAsia="仿宋"/>
          <w:b/>
          <w:bCs/>
          <w:sz w:val="32"/>
          <w:szCs w:val="32"/>
        </w:rPr>
        <w:t>9</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b/>
          <w:bCs/>
          <w:sz w:val="32"/>
          <w:szCs w:val="32"/>
        </w:rPr>
        <w:t>住房保障支出</w:t>
      </w:r>
      <w:r>
        <w:rPr>
          <w:rStyle w:val="16"/>
          <w:rFonts w:hint="eastAsia" w:ascii="仿宋" w:hAnsi="仿宋" w:eastAsia="仿宋"/>
          <w:bCs/>
          <w:sz w:val="32"/>
          <w:szCs w:val="32"/>
        </w:rPr>
        <w:t>（类）住房改革支出（款）购房补贴（项）：</w:t>
      </w:r>
      <w:r>
        <w:rPr>
          <w:rStyle w:val="16"/>
          <w:rFonts w:hint="eastAsia" w:ascii="仿宋" w:hAnsi="仿宋" w:eastAsia="仿宋"/>
          <w:b w:val="0"/>
          <w:sz w:val="32"/>
          <w:szCs w:val="32"/>
        </w:rPr>
        <w:t>支出决算</w:t>
      </w:r>
      <w:r>
        <w:rPr>
          <w:rStyle w:val="16"/>
          <w:rFonts w:ascii="仿宋" w:hAnsi="仿宋" w:eastAsia="仿宋"/>
          <w:b w:val="0"/>
          <w:sz w:val="32"/>
          <w:szCs w:val="32"/>
        </w:rPr>
        <w:t>1</w:t>
      </w:r>
      <w:r>
        <w:rPr>
          <w:rStyle w:val="16"/>
          <w:rFonts w:hint="eastAsia" w:ascii="仿宋" w:hAnsi="仿宋" w:eastAsia="仿宋"/>
          <w:b w:val="0"/>
          <w:sz w:val="32"/>
          <w:szCs w:val="32"/>
        </w:rPr>
        <w:t>.</w:t>
      </w:r>
      <w:r>
        <w:rPr>
          <w:rStyle w:val="16"/>
          <w:rFonts w:ascii="仿宋" w:hAnsi="仿宋" w:eastAsia="仿宋"/>
          <w:b w:val="0"/>
          <w:sz w:val="32"/>
          <w:szCs w:val="32"/>
        </w:rPr>
        <w:t>66</w:t>
      </w:r>
      <w:r>
        <w:rPr>
          <w:rStyle w:val="16"/>
          <w:rFonts w:hint="eastAsia" w:ascii="仿宋" w:hAnsi="仿宋" w:eastAsia="仿宋"/>
          <w:b w:val="0"/>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bookmarkEnd w:id="38"/>
      <w:bookmarkEnd w:id="39"/>
    </w:p>
    <w:p w14:paraId="65519D24">
      <w:pPr>
        <w:pStyle w:val="2"/>
        <w:spacing w:before="93"/>
      </w:pPr>
    </w:p>
    <w:p w14:paraId="026FCCA4">
      <w:pPr>
        <w:tabs>
          <w:tab w:val="right" w:pos="8306"/>
        </w:tabs>
        <w:spacing w:line="600" w:lineRule="exact"/>
        <w:ind w:firstLine="640"/>
        <w:outlineLvl w:val="1"/>
        <w:rPr>
          <w:rStyle w:val="28"/>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14:paraId="683B3159">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20年一般公共预算财政拨款基本支出</w:t>
      </w:r>
      <w:r>
        <w:rPr>
          <w:rFonts w:ascii="仿宋" w:hAnsi="仿宋" w:eastAsia="仿宋"/>
          <w:sz w:val="32"/>
          <w:szCs w:val="32"/>
        </w:rPr>
        <w:t>714</w:t>
      </w:r>
      <w:r>
        <w:rPr>
          <w:rFonts w:hint="eastAsia" w:ascii="仿宋" w:hAnsi="仿宋" w:eastAsia="仿宋"/>
          <w:sz w:val="32"/>
          <w:szCs w:val="32"/>
        </w:rPr>
        <w:t>.</w:t>
      </w:r>
      <w:r>
        <w:rPr>
          <w:rFonts w:ascii="仿宋" w:hAnsi="仿宋" w:eastAsia="仿宋"/>
          <w:sz w:val="32"/>
          <w:szCs w:val="32"/>
        </w:rPr>
        <w:t>15</w:t>
      </w:r>
      <w:r>
        <w:rPr>
          <w:rFonts w:hint="eastAsia" w:ascii="仿宋" w:hAnsi="仿宋" w:eastAsia="仿宋"/>
          <w:sz w:val="32"/>
          <w:szCs w:val="32"/>
        </w:rPr>
        <w:t>万元，其中：</w:t>
      </w:r>
    </w:p>
    <w:p w14:paraId="6B720EAE">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人员经费5</w:t>
      </w:r>
      <w:r>
        <w:rPr>
          <w:rFonts w:ascii="仿宋" w:hAnsi="仿宋" w:eastAsia="仿宋"/>
          <w:sz w:val="32"/>
          <w:szCs w:val="32"/>
        </w:rPr>
        <w:t>88</w:t>
      </w:r>
      <w:r>
        <w:rPr>
          <w:rFonts w:hint="eastAsia" w:ascii="仿宋" w:hAnsi="仿宋" w:eastAsia="仿宋"/>
          <w:sz w:val="32"/>
          <w:szCs w:val="32"/>
        </w:rPr>
        <w:t>.</w:t>
      </w:r>
      <w:r>
        <w:rPr>
          <w:rFonts w:ascii="仿宋" w:hAnsi="仿宋" w:eastAsia="仿宋"/>
          <w:sz w:val="32"/>
          <w:szCs w:val="32"/>
        </w:rPr>
        <w:t>09</w:t>
      </w:r>
      <w:r>
        <w:rPr>
          <w:rFonts w:hint="eastAsia" w:ascii="仿宋" w:hAnsi="仿宋" w:eastAsia="仿宋"/>
          <w:sz w:val="32"/>
          <w:szCs w:val="32"/>
        </w:rPr>
        <w:t>万元，主要包括：基本工资、津贴补贴、绩效工资、机关事业单位基本养老保险缴费、职业年金缴费、其他社会保障缴费、其他工资福利支出、抚恤金、奖励金、住房公积金等。</w:t>
      </w:r>
    </w:p>
    <w:p w14:paraId="3490F63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公用经费1</w:t>
      </w:r>
      <w:r>
        <w:rPr>
          <w:rFonts w:ascii="仿宋" w:hAnsi="仿宋" w:eastAsia="仿宋"/>
          <w:sz w:val="32"/>
          <w:szCs w:val="32"/>
        </w:rPr>
        <w:t>26</w:t>
      </w:r>
      <w:r>
        <w:rPr>
          <w:rFonts w:hint="eastAsia" w:ascii="仿宋" w:hAnsi="仿宋" w:eastAsia="仿宋"/>
          <w:sz w:val="32"/>
          <w:szCs w:val="32"/>
        </w:rPr>
        <w:t>.</w:t>
      </w:r>
      <w:r>
        <w:rPr>
          <w:rFonts w:ascii="仿宋" w:hAnsi="仿宋" w:eastAsia="仿宋"/>
          <w:sz w:val="32"/>
          <w:szCs w:val="32"/>
        </w:rPr>
        <w:t>06</w:t>
      </w:r>
      <w:r>
        <w:rPr>
          <w:rFonts w:hint="eastAsia" w:ascii="仿宋" w:hAnsi="仿宋" w:eastAsia="仿宋"/>
          <w:sz w:val="32"/>
          <w:szCs w:val="32"/>
        </w:rPr>
        <w:t>万元，主要包括：办公费、邮电费、物业管理费、差旅费、培训费、工会经费、福利费、公务用车运行维护费、其他商品和服务支出等。</w:t>
      </w:r>
    </w:p>
    <w:p w14:paraId="311653E5">
      <w:pPr>
        <w:pStyle w:val="2"/>
        <w:rPr>
          <w:rFonts w:hint="eastAsia" w:ascii="仿宋" w:hAnsi="仿宋" w:eastAsia="仿宋"/>
          <w:sz w:val="32"/>
          <w:szCs w:val="32"/>
        </w:rPr>
      </w:pPr>
    </w:p>
    <w:p w14:paraId="38D8105B">
      <w:pPr>
        <w:pStyle w:val="2"/>
        <w:rPr>
          <w:del w:id="6" w:author="user" w:date="2021-09-06T12:37:00Z"/>
          <w:rFonts w:hint="eastAsia" w:ascii="仿宋" w:hAnsi="仿宋" w:eastAsia="仿宋"/>
          <w:sz w:val="32"/>
          <w:szCs w:val="32"/>
        </w:rPr>
      </w:pPr>
    </w:p>
    <w:p w14:paraId="74B490E7">
      <w:pPr>
        <w:spacing w:line="600" w:lineRule="exact"/>
        <w:ind w:firstLine="640" w:firstLineChars="200"/>
        <w:outlineLvl w:val="1"/>
        <w:rPr>
          <w:rStyle w:val="28"/>
          <w:rFonts w:ascii="黑体" w:hAnsi="黑体" w:eastAsia="黑体"/>
          <w:b w:val="0"/>
        </w:rPr>
      </w:pPr>
      <w:bookmarkStart w:id="42" w:name="_Toc15377215"/>
      <w:bookmarkStart w:id="43" w:name="_Toc15396609"/>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14:paraId="13B4077E">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14:paraId="3AAA1016">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20年“三公”经费财政拨款支出决算为</w:t>
      </w:r>
      <w:r>
        <w:rPr>
          <w:rFonts w:ascii="仿宋" w:hAnsi="仿宋" w:eastAsia="仿宋"/>
          <w:sz w:val="32"/>
          <w:szCs w:val="32"/>
        </w:rPr>
        <w:t>15</w:t>
      </w:r>
      <w:r>
        <w:rPr>
          <w:rFonts w:hint="eastAsia" w:ascii="仿宋" w:hAnsi="仿宋" w:eastAsia="仿宋"/>
          <w:sz w:val="32"/>
          <w:szCs w:val="32"/>
        </w:rPr>
        <w:t>.</w:t>
      </w:r>
      <w:r>
        <w:rPr>
          <w:rFonts w:ascii="仿宋" w:hAnsi="仿宋" w:eastAsia="仿宋"/>
          <w:sz w:val="32"/>
          <w:szCs w:val="32"/>
        </w:rPr>
        <w:t>50</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，决算数与预算数持平。</w:t>
      </w:r>
    </w:p>
    <w:p w14:paraId="050EC572">
      <w:pPr>
        <w:spacing w:line="600" w:lineRule="exact"/>
        <w:ind w:firstLine="640"/>
        <w:rPr>
          <w:del w:id="7" w:author="user" w:date="2021-09-06T12:37:00Z"/>
          <w:rFonts w:ascii="仿宋" w:hAnsi="仿宋" w:eastAsia="仿宋"/>
          <w:b/>
          <w:sz w:val="32"/>
          <w:szCs w:val="32"/>
        </w:rPr>
      </w:pPr>
      <w:del w:id="8" w:author="user" w:date="2021-09-06T12:37:00Z">
        <w:r>
          <w:rPr>
            <w:rFonts w:hint="eastAsia" w:ascii="仿宋" w:hAnsi="仿宋" w:eastAsia="仿宋"/>
            <w:b/>
            <w:sz w:val="32"/>
            <w:szCs w:val="32"/>
          </w:rPr>
          <w:delText>（注：上述“预算”口径为调整预算数，包括一般公共预算和政府性基金预算财政拨款支出决算情况。）</w:delText>
        </w:r>
      </w:del>
    </w:p>
    <w:p w14:paraId="00279F60">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14:paraId="7CD26AC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20年“三公”经费财政拨款支出决算中，公务用车购置及运行维护费支出决算</w:t>
      </w:r>
      <w:r>
        <w:rPr>
          <w:rFonts w:ascii="仿宋" w:hAnsi="仿宋" w:eastAsia="仿宋"/>
          <w:sz w:val="32"/>
          <w:szCs w:val="32"/>
        </w:rPr>
        <w:t>15</w:t>
      </w:r>
      <w:r>
        <w:rPr>
          <w:rFonts w:hint="eastAsia" w:ascii="仿宋" w:hAnsi="仿宋" w:eastAsia="仿宋"/>
          <w:sz w:val="32"/>
          <w:szCs w:val="32"/>
        </w:rPr>
        <w:t>.</w:t>
      </w:r>
      <w:r>
        <w:rPr>
          <w:rFonts w:ascii="仿宋" w:hAnsi="仿宋" w:eastAsia="仿宋"/>
          <w:sz w:val="32"/>
          <w:szCs w:val="32"/>
        </w:rPr>
        <w:t>50</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。具体情况如下：</w:t>
      </w:r>
    </w:p>
    <w:p w14:paraId="5AA0936F">
      <w:pPr>
        <w:spacing w:line="600" w:lineRule="exact"/>
        <w:ind w:firstLine="643" w:firstLineChars="200"/>
        <w:rPr>
          <w:rFonts w:ascii="仿宋_GB2312" w:eastAsia="仿宋_GB2312"/>
          <w:b/>
          <w:sz w:val="32"/>
          <w:szCs w:val="32"/>
        </w:rPr>
      </w:pPr>
      <w:r>
        <w:rPr>
          <w:rFonts w:hint="eastAsia" w:ascii="仿宋_GB2312" w:eastAsia="仿宋_GB2312"/>
          <w:b/>
          <w:sz w:val="32"/>
          <w:szCs w:val="32"/>
        </w:rPr>
        <w:t>公务用车购置及运行维护费支出</w:t>
      </w:r>
      <w:r>
        <w:rPr>
          <w:rFonts w:ascii="仿宋_GB2312" w:eastAsia="仿宋_GB2312"/>
          <w:sz w:val="32"/>
          <w:szCs w:val="32"/>
        </w:rPr>
        <w:t>15</w:t>
      </w:r>
      <w:r>
        <w:rPr>
          <w:rFonts w:hint="eastAsia" w:ascii="仿宋_GB2312" w:eastAsia="仿宋_GB2312"/>
          <w:sz w:val="32"/>
          <w:szCs w:val="32"/>
        </w:rPr>
        <w:t>.</w:t>
      </w:r>
      <w:r>
        <w:rPr>
          <w:rFonts w:ascii="仿宋_GB2312" w:eastAsia="仿宋_GB2312"/>
          <w:sz w:val="32"/>
          <w:szCs w:val="32"/>
        </w:rPr>
        <w:t>50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201</w:t>
      </w:r>
      <w:r>
        <w:rPr>
          <w:rFonts w:hint="eastAsia" w:ascii="仿宋_GB2312" w:eastAsia="仿宋_GB2312"/>
          <w:sz w:val="32"/>
          <w:szCs w:val="32"/>
        </w:rPr>
        <w:t>9年减少</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50</w:t>
      </w:r>
      <w:r>
        <w:rPr>
          <w:rFonts w:hint="eastAsia" w:ascii="仿宋_GB2312" w:eastAsia="仿宋_GB2312"/>
          <w:sz w:val="32"/>
          <w:szCs w:val="32"/>
        </w:rPr>
        <w:t>万元，下降</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13%</w:t>
      </w:r>
      <w:r>
        <w:rPr>
          <w:rFonts w:hint="eastAsia" w:ascii="仿宋_GB2312" w:eastAsia="仿宋_GB2312"/>
          <w:sz w:val="32"/>
          <w:szCs w:val="32"/>
        </w:rPr>
        <w:t>。主要原因是2</w:t>
      </w:r>
      <w:r>
        <w:rPr>
          <w:rFonts w:ascii="仿宋_GB2312" w:eastAsia="仿宋_GB2312"/>
          <w:sz w:val="32"/>
          <w:szCs w:val="32"/>
        </w:rPr>
        <w:t>020年结算中心严格按要求厉行节约，压缩车辆相关费用支出</w:t>
      </w:r>
      <w:r>
        <w:rPr>
          <w:rFonts w:hint="eastAsia" w:ascii="仿宋_GB2312" w:eastAsia="仿宋_GB2312"/>
          <w:sz w:val="32"/>
          <w:szCs w:val="32"/>
        </w:rPr>
        <w:t>。</w:t>
      </w:r>
    </w:p>
    <w:p w14:paraId="1819AB4D">
      <w:pPr>
        <w:spacing w:line="60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4</w:t>
      </w:r>
      <w:r>
        <w:rPr>
          <w:rFonts w:hint="eastAsia" w:ascii="仿宋_GB2312" w:eastAsia="仿宋_GB2312"/>
          <w:sz w:val="32"/>
          <w:szCs w:val="32"/>
        </w:rPr>
        <w:t>辆，其中：轿车</w:t>
      </w:r>
      <w:r>
        <w:rPr>
          <w:rFonts w:ascii="仿宋_GB2312" w:eastAsia="仿宋_GB2312"/>
          <w:sz w:val="32"/>
          <w:szCs w:val="32"/>
        </w:rPr>
        <w:t>1</w:t>
      </w:r>
      <w:r>
        <w:rPr>
          <w:rFonts w:hint="eastAsia" w:ascii="仿宋_GB2312" w:eastAsia="仿宋_GB2312"/>
          <w:sz w:val="32"/>
          <w:szCs w:val="32"/>
        </w:rPr>
        <w:t>辆、越野车</w:t>
      </w:r>
      <w:r>
        <w:rPr>
          <w:rFonts w:ascii="仿宋_GB2312" w:eastAsia="仿宋_GB2312"/>
          <w:sz w:val="32"/>
          <w:szCs w:val="32"/>
        </w:rPr>
        <w:t>2</w:t>
      </w:r>
      <w:r>
        <w:rPr>
          <w:rFonts w:hint="eastAsia" w:ascii="仿宋_GB2312" w:eastAsia="仿宋_GB2312"/>
          <w:sz w:val="32"/>
          <w:szCs w:val="32"/>
        </w:rPr>
        <w:t>辆、载客汽车</w:t>
      </w:r>
      <w:r>
        <w:rPr>
          <w:rFonts w:ascii="仿宋_GB2312" w:eastAsia="仿宋_GB2312"/>
          <w:sz w:val="32"/>
          <w:szCs w:val="32"/>
        </w:rPr>
        <w:t>1</w:t>
      </w:r>
      <w:r>
        <w:rPr>
          <w:rFonts w:hint="eastAsia" w:ascii="仿宋_GB2312" w:eastAsia="仿宋_GB2312"/>
          <w:sz w:val="32"/>
          <w:szCs w:val="32"/>
        </w:rPr>
        <w:t>辆。</w:t>
      </w:r>
    </w:p>
    <w:p w14:paraId="660F4EEF">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15</w:t>
      </w:r>
      <w:r>
        <w:rPr>
          <w:rFonts w:hint="eastAsia" w:ascii="仿宋_GB2312" w:eastAsia="仿宋_GB2312"/>
          <w:sz w:val="32"/>
          <w:szCs w:val="32"/>
        </w:rPr>
        <w:t>.</w:t>
      </w:r>
      <w:r>
        <w:rPr>
          <w:rFonts w:ascii="仿宋_GB2312" w:eastAsia="仿宋_GB2312"/>
          <w:sz w:val="32"/>
          <w:szCs w:val="32"/>
        </w:rPr>
        <w:t>50</w:t>
      </w:r>
      <w:r>
        <w:rPr>
          <w:rFonts w:hint="eastAsia" w:ascii="仿宋_GB2312" w:eastAsia="仿宋_GB2312"/>
          <w:sz w:val="32"/>
          <w:szCs w:val="32"/>
        </w:rPr>
        <w:t>万元。主要用于中心技术人员到全省高速公路巡检、收费系统软件维护等所需的公务用车燃料费、维修费、过路过桥费、保险费等支出。</w:t>
      </w:r>
    </w:p>
    <w:p w14:paraId="70F5E512">
      <w:pPr>
        <w:pStyle w:val="2"/>
        <w:spacing w:before="93"/>
      </w:pPr>
    </w:p>
    <w:p w14:paraId="73E735D0">
      <w:pPr>
        <w:spacing w:line="600" w:lineRule="exact"/>
        <w:ind w:firstLine="640"/>
        <w:outlineLvl w:val="1"/>
        <w:rPr>
          <w:rStyle w:val="28"/>
          <w:rFonts w:ascii="黑体" w:hAnsi="黑体" w:eastAsia="黑体"/>
        </w:rPr>
      </w:pPr>
      <w:bookmarkStart w:id="46" w:name="_Toc15377218"/>
      <w:bookmarkStart w:id="47" w:name="_Toc15396610"/>
      <w:r>
        <w:rPr>
          <w:rFonts w:hint="eastAsia" w:ascii="黑体" w:eastAsia="黑体"/>
          <w:sz w:val="32"/>
          <w:szCs w:val="32"/>
        </w:rPr>
        <w:t>八、</w:t>
      </w:r>
      <w:r>
        <w:rPr>
          <w:rStyle w:val="28"/>
          <w:rFonts w:hint="eastAsia" w:ascii="黑体" w:hAnsi="黑体" w:eastAsia="黑体"/>
          <w:b w:val="0"/>
        </w:rPr>
        <w:t>政府性基金预算支出决算情况说明</w:t>
      </w:r>
      <w:bookmarkEnd w:id="46"/>
      <w:bookmarkEnd w:id="47"/>
    </w:p>
    <w:p w14:paraId="441BBE5F">
      <w:pPr>
        <w:spacing w:line="600" w:lineRule="exact"/>
        <w:ind w:firstLine="640"/>
      </w:pPr>
      <w:r>
        <w:rPr>
          <w:rFonts w:ascii="仿宋_GB2312" w:eastAsia="仿宋_GB2312"/>
          <w:sz w:val="32"/>
          <w:szCs w:val="32"/>
        </w:rPr>
        <w:t>20</w:t>
      </w:r>
      <w:r>
        <w:rPr>
          <w:rFonts w:hint="eastAsia" w:ascii="仿宋_GB2312" w:eastAsia="仿宋_GB2312"/>
          <w:sz w:val="32"/>
          <w:szCs w:val="32"/>
        </w:rPr>
        <w:t>20年政府性基金预算财政拨款支出</w:t>
      </w:r>
      <w:r>
        <w:rPr>
          <w:rFonts w:ascii="仿宋_GB2312" w:eastAsia="仿宋_GB2312"/>
          <w:sz w:val="32"/>
          <w:szCs w:val="32"/>
        </w:rPr>
        <w:t>0</w:t>
      </w:r>
      <w:r>
        <w:rPr>
          <w:rFonts w:hint="eastAsia" w:ascii="仿宋_GB2312" w:eastAsia="仿宋_GB2312"/>
          <w:sz w:val="32"/>
          <w:szCs w:val="32"/>
        </w:rPr>
        <w:t>万元。</w:t>
      </w:r>
    </w:p>
    <w:p w14:paraId="190BE16E">
      <w:pPr>
        <w:numPr>
          <w:ilvl w:val="0"/>
          <w:numId w:val="5"/>
        </w:numPr>
        <w:spacing w:line="600" w:lineRule="exact"/>
        <w:ind w:firstLine="640"/>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国有资本经营预算支出决算情况说明</w:t>
      </w:r>
      <w:bookmarkEnd w:id="48"/>
      <w:bookmarkEnd w:id="49"/>
    </w:p>
    <w:p w14:paraId="3BD604B0">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2020年国有资本经营预算财政拨款支出0万元。</w:t>
      </w:r>
    </w:p>
    <w:p w14:paraId="5A55B1B7">
      <w:pPr>
        <w:pStyle w:val="2"/>
        <w:spacing w:before="93"/>
      </w:pPr>
    </w:p>
    <w:p w14:paraId="033F0DE2">
      <w:pPr>
        <w:numPr>
          <w:ilvl w:val="0"/>
          <w:numId w:val="5"/>
        </w:numPr>
        <w:spacing w:line="600" w:lineRule="exact"/>
        <w:ind w:firstLine="640"/>
        <w:outlineLvl w:val="1"/>
        <w:rPr>
          <w:rStyle w:val="28"/>
          <w:rFonts w:ascii="黑体" w:hAnsi="黑体" w:eastAsia="黑体"/>
          <w:b w:val="0"/>
        </w:rPr>
      </w:pPr>
      <w:bookmarkStart w:id="50" w:name="_Toc15377221"/>
      <w:bookmarkStart w:id="51" w:name="_Toc15396612"/>
      <w:r>
        <w:rPr>
          <w:rStyle w:val="28"/>
          <w:rFonts w:hint="eastAsia" w:ascii="黑体" w:hAnsi="黑体" w:eastAsia="黑体"/>
          <w:b w:val="0"/>
        </w:rPr>
        <w:t>其他重要事项的情况说明</w:t>
      </w:r>
      <w:bookmarkEnd w:id="50"/>
      <w:bookmarkEnd w:id="51"/>
    </w:p>
    <w:p w14:paraId="4561EC61">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14:paraId="0BFB28B5">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2020年机关运行经费支出0万元。</w:t>
      </w:r>
    </w:p>
    <w:p w14:paraId="077C9136">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14:paraId="5B9831DA">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2020年，结算中心政府采购支出总额14.50万元，其中：政府采购服务支出14.50万元。主要用于公务车辆的保险费、维修保养费、油费等。</w:t>
      </w:r>
    </w:p>
    <w:p w14:paraId="73CE6B13">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14:paraId="5FC2F435">
      <w:pPr>
        <w:autoSpaceDE w:val="0"/>
        <w:autoSpaceDN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截至2020年12月31日，结算中心共有车辆4辆，其中：应急保障用车4辆。单价50万元以上通用设备3台（套），单价100万元以上专用设备0台（套）。</w:t>
      </w:r>
    </w:p>
    <w:p w14:paraId="3867AB9B">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395685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根据预算绩效管理要求，本单位在2020年度预算编制阶段，组织对</w:t>
      </w:r>
      <w:bookmarkStart w:id="55" w:name="_Hlk81409340"/>
      <w:r>
        <w:rPr>
          <w:rFonts w:hint="eastAsia" w:ascii="仿宋" w:hAnsi="仿宋" w:eastAsia="仿宋" w:cs="仿宋"/>
          <w:sz w:val="32"/>
          <w:szCs w:val="32"/>
        </w:rPr>
        <w:t>四川省高速公路监控结算中心和灾备中心改造建设工程</w:t>
      </w:r>
      <w:bookmarkEnd w:id="55"/>
      <w:r>
        <w:rPr>
          <w:rFonts w:hint="eastAsia" w:ascii="仿宋" w:hAnsi="仿宋" w:eastAsia="仿宋" w:cs="仿宋"/>
          <w:sz w:val="32"/>
          <w:szCs w:val="32"/>
        </w:rPr>
        <w:t>项目开展了预算事前绩效评估，编制了绩效目标，预算执行过程中，开展绩效监控，并于年终执行完毕后，对该项目开展了绩效目标完成情况自评。</w:t>
      </w:r>
    </w:p>
    <w:p w14:paraId="7AD2765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算中心按要求对2020年整体支出开展绩效自评，从评价情况来看，本年绩效目标完成情况良好，基本达到年初既定目标。结算中心还自行组织了四川省高速公路监控结算中心和灾备中心改造建设工程项目支出绩效评价，从评价情况来看，该项目严格按省发改委和住建厅的初设批复控制项目投资，各工程进度与年初计划一致，本年财政投入的基本建设资金已全部使用，按合同完成项目相关费用结算。</w:t>
      </w:r>
    </w:p>
    <w:p w14:paraId="2C1438A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结算中心在2020年度部门决算中反映“四川省高速公路监控结算中心和灾备中心改造建设工程”项目绩效目标实际完成情况，具体内容如下;</w:t>
      </w:r>
    </w:p>
    <w:p w14:paraId="7B60D9C7">
      <w:pPr>
        <w:spacing w:line="580" w:lineRule="exact"/>
        <w:ind w:firstLine="640" w:firstLineChars="200"/>
        <w:rPr>
          <w:rFonts w:hint="eastAsia" w:ascii="仿宋" w:hAnsi="仿宋" w:eastAsia="仿宋" w:cs="仿宋"/>
          <w:sz w:val="24"/>
        </w:rPr>
      </w:pPr>
      <w:r>
        <w:rPr>
          <w:rFonts w:hint="eastAsia" w:ascii="仿宋" w:hAnsi="仿宋" w:eastAsia="仿宋" w:cs="仿宋"/>
          <w:sz w:val="32"/>
          <w:szCs w:val="32"/>
        </w:rPr>
        <w:t>四川省高速公路监控结算中心和灾备中心改造建设工程项目全年预算数8,710万元，执行数为8,710万元，完成预算的100%。通过项目实施，保障全省高速公路路网系统安全、可靠、稳定运行，提升信息化服务水平</w:t>
      </w:r>
      <w:r>
        <w:rPr>
          <w:rFonts w:hint="eastAsia" w:ascii="仿宋" w:hAnsi="仿宋" w:eastAsia="仿宋" w:cs="仿宋"/>
          <w:sz w:val="24"/>
        </w:rPr>
        <w:t>。</w:t>
      </w:r>
    </w:p>
    <w:p w14:paraId="28CB754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现的主要问题：房建工程建设因每年底环保督察、疫情、雨季影响，工程进度部分滞后；竣工验收、综合验收涉及部门和程序较多，加之本项目为EPC总承包，竣工后结算时间无法按规定的结算时间完成，结算后的费用支付延期。信息化工程建设因疫情、房建工程进度部分滞后等影响；工程进度较预期有所延后，竣工验收涉及部门和程序较多，竣工后结算时间可能延期，会造成结算费用支付延期。</w:t>
      </w:r>
    </w:p>
    <w:p w14:paraId="5DBDE1A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下一步改进措施：加快工程项目建设进度，按合同规定时间完成相关费用结算。</w:t>
      </w:r>
    </w:p>
    <w:p w14:paraId="39A1F669">
      <w:pPr>
        <w:pStyle w:val="2"/>
        <w:spacing w:before="93"/>
        <w:rPr>
          <w:rFonts w:hint="eastAsia" w:ascii="仿宋" w:hAnsi="仿宋" w:eastAsia="仿宋" w:cs="仿宋"/>
        </w:rPr>
      </w:pPr>
    </w:p>
    <w:p w14:paraId="3EE4DF7B">
      <w:pPr>
        <w:pStyle w:val="2"/>
        <w:spacing w:before="93"/>
      </w:pPr>
    </w:p>
    <w:p w14:paraId="34D17492">
      <w:pPr>
        <w:pStyle w:val="2"/>
        <w:spacing w:before="93"/>
        <w:rPr>
          <w:rFonts w:hint="eastAsia"/>
        </w:rPr>
      </w:pPr>
    </w:p>
    <w:tbl>
      <w:tblPr>
        <w:tblStyle w:val="14"/>
        <w:tblpPr w:leftFromText="180" w:rightFromText="180" w:vertAnchor="text" w:horzAnchor="page" w:tblpXSpec="center" w:tblpY="1216"/>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5FF669DB">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0920DD7">
            <w:pPr>
              <w:widowControl/>
              <w:jc w:val="center"/>
              <w:textAlignment w:val="center"/>
              <w:rPr>
                <w:rFonts w:hint="eastAsia" w:ascii="宋体" w:hAnsi="宋体" w:eastAsia="宋体" w:cs="宋体"/>
                <w:b/>
                <w:bCs/>
                <w:kern w:val="0"/>
                <w:sz w:val="36"/>
                <w:szCs w:val="36"/>
                <w:lang w:eastAsia="zh-CN" w:bidi="ar"/>
              </w:rPr>
            </w:pPr>
            <w:r>
              <w:rPr>
                <w:rFonts w:hint="eastAsia" w:ascii="宋体" w:hAnsi="宋体" w:cs="宋体"/>
                <w:b/>
                <w:bCs/>
                <w:kern w:val="0"/>
                <w:sz w:val="36"/>
                <w:szCs w:val="36"/>
                <w:lang w:bidi="ar"/>
              </w:rPr>
              <w:t>项目绩效目标完成情况表</w:t>
            </w:r>
          </w:p>
          <w:p w14:paraId="0EE9BD1F">
            <w:pPr>
              <w:widowControl/>
              <w:jc w:val="center"/>
              <w:textAlignment w:val="center"/>
              <w:rPr>
                <w:rFonts w:ascii="宋体" w:hAnsi="宋体" w:cs="宋体"/>
                <w:sz w:val="36"/>
                <w:szCs w:val="36"/>
              </w:rPr>
            </w:pPr>
            <w:r>
              <w:rPr>
                <w:rFonts w:hint="eastAsia" w:ascii="宋体" w:hAnsi="宋体" w:cs="宋体"/>
                <w:kern w:val="0"/>
                <w:sz w:val="36"/>
                <w:szCs w:val="36"/>
                <w:lang w:bidi="ar"/>
              </w:rPr>
              <w:t>(2020年度)</w:t>
            </w:r>
          </w:p>
        </w:tc>
      </w:tr>
      <w:tr w14:paraId="178CB6A5">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DBFE8">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89649">
            <w:pPr>
              <w:widowControl/>
              <w:jc w:val="center"/>
              <w:textAlignment w:val="center"/>
              <w:rPr>
                <w:rFonts w:ascii="宋体" w:hAnsi="宋体" w:cs="宋体"/>
                <w:sz w:val="24"/>
              </w:rPr>
            </w:pPr>
            <w:r>
              <w:rPr>
                <w:rFonts w:hint="eastAsia" w:ascii="宋体" w:hAnsi="宋体" w:cs="仿宋_GB2312"/>
                <w:sz w:val="24"/>
              </w:rPr>
              <w:t>四川省高速公路监控结算中心和灾备中心改造建设工程</w:t>
            </w:r>
          </w:p>
        </w:tc>
      </w:tr>
      <w:tr w14:paraId="796BDE14">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3A415">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C2BEC">
            <w:pPr>
              <w:widowControl/>
              <w:jc w:val="center"/>
              <w:textAlignment w:val="center"/>
              <w:rPr>
                <w:rFonts w:ascii="宋体" w:hAnsi="宋体" w:cs="宋体"/>
                <w:sz w:val="24"/>
              </w:rPr>
            </w:pPr>
            <w:r>
              <w:rPr>
                <w:rFonts w:hint="eastAsia" w:ascii="宋体" w:hAnsi="宋体" w:cs="宋体"/>
                <w:sz w:val="24"/>
              </w:rPr>
              <w:t>四川省交通运输厅高速公路监控结算中心</w:t>
            </w:r>
          </w:p>
        </w:tc>
      </w:tr>
      <w:tr w14:paraId="268FDC5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CDADA">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4FCC3">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693E7">
            <w:pPr>
              <w:widowControl/>
              <w:jc w:val="center"/>
              <w:textAlignment w:val="center"/>
              <w:rPr>
                <w:rFonts w:ascii="宋体" w:hAnsi="宋体" w:cs="宋体"/>
                <w:sz w:val="24"/>
              </w:rPr>
            </w:pPr>
            <w:r>
              <w:rPr>
                <w:rFonts w:hint="eastAsia" w:ascii="宋体" w:hAnsi="宋体" w:cs="宋体"/>
                <w:sz w:val="24"/>
              </w:rPr>
              <w:t>8</w:t>
            </w:r>
            <w:r>
              <w:rPr>
                <w:rFonts w:ascii="宋体" w:hAnsi="宋体" w:cs="宋体"/>
                <w:sz w:val="24"/>
              </w:rPr>
              <w:t>710</w:t>
            </w:r>
            <w:r>
              <w:rPr>
                <w:rFonts w:hint="eastAsia" w:ascii="宋体" w:hAnsi="宋体" w:cs="宋体"/>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2A032">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D4395">
            <w:pPr>
              <w:widowControl/>
              <w:jc w:val="center"/>
              <w:textAlignment w:val="center"/>
              <w:rPr>
                <w:rFonts w:ascii="宋体" w:hAnsi="宋体" w:cs="宋体"/>
                <w:sz w:val="24"/>
              </w:rPr>
            </w:pPr>
            <w:r>
              <w:rPr>
                <w:rFonts w:hint="eastAsia" w:ascii="宋体" w:hAnsi="宋体" w:cs="宋体"/>
                <w:sz w:val="24"/>
              </w:rPr>
              <w:t>8</w:t>
            </w:r>
            <w:r>
              <w:rPr>
                <w:rFonts w:ascii="宋体" w:hAnsi="宋体" w:cs="宋体"/>
                <w:sz w:val="24"/>
              </w:rPr>
              <w:t>710</w:t>
            </w:r>
            <w:r>
              <w:rPr>
                <w:rFonts w:hint="eastAsia" w:ascii="宋体" w:hAnsi="宋体" w:cs="宋体"/>
                <w:sz w:val="24"/>
              </w:rPr>
              <w:t>万元</w:t>
            </w:r>
          </w:p>
        </w:tc>
      </w:tr>
      <w:tr w14:paraId="11FEAD49">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718BC">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1E238">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7830A">
            <w:pPr>
              <w:widowControl/>
              <w:jc w:val="center"/>
              <w:textAlignment w:val="center"/>
              <w:rPr>
                <w:rFonts w:ascii="宋体" w:hAnsi="宋体" w:cs="宋体"/>
                <w:sz w:val="24"/>
              </w:rPr>
            </w:pPr>
            <w:r>
              <w:rPr>
                <w:rFonts w:hint="eastAsia" w:ascii="宋体" w:hAnsi="宋体" w:cs="宋体"/>
                <w:sz w:val="24"/>
              </w:rPr>
              <w:t>8</w:t>
            </w:r>
            <w:r>
              <w:rPr>
                <w:rFonts w:ascii="宋体" w:hAnsi="宋体" w:cs="宋体"/>
                <w:sz w:val="24"/>
              </w:rPr>
              <w:t>710</w:t>
            </w:r>
            <w:r>
              <w:rPr>
                <w:rFonts w:hint="eastAsia" w:ascii="宋体" w:hAnsi="宋体" w:cs="宋体"/>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E7B84">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5EC6B">
            <w:pPr>
              <w:widowControl/>
              <w:jc w:val="center"/>
              <w:textAlignment w:val="center"/>
              <w:rPr>
                <w:rFonts w:ascii="宋体" w:hAnsi="宋体" w:cs="宋体"/>
                <w:sz w:val="24"/>
              </w:rPr>
            </w:pPr>
            <w:r>
              <w:rPr>
                <w:rFonts w:hint="eastAsia" w:ascii="宋体" w:hAnsi="宋体" w:cs="宋体"/>
                <w:sz w:val="24"/>
              </w:rPr>
              <w:t>8</w:t>
            </w:r>
            <w:r>
              <w:rPr>
                <w:rFonts w:ascii="宋体" w:hAnsi="宋体" w:cs="宋体"/>
                <w:sz w:val="24"/>
              </w:rPr>
              <w:t>710</w:t>
            </w:r>
            <w:r>
              <w:rPr>
                <w:rFonts w:hint="eastAsia" w:ascii="宋体" w:hAnsi="宋体" w:cs="宋体"/>
                <w:sz w:val="24"/>
              </w:rPr>
              <w:t>万元</w:t>
            </w:r>
          </w:p>
        </w:tc>
      </w:tr>
      <w:tr w14:paraId="54424AA6">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A31DE">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E7F38">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47E8B">
            <w:pPr>
              <w:widowControl/>
              <w:jc w:val="center"/>
              <w:textAlignment w:val="center"/>
              <w:rPr>
                <w:rFonts w:ascii="宋体" w:hAnsi="宋体" w:cs="宋体"/>
                <w:sz w:val="24"/>
              </w:rPr>
            </w:pPr>
            <w:r>
              <w:rPr>
                <w:rFonts w:ascii="宋体" w:hAnsi="宋体" w:cs="宋体"/>
                <w:sz w:val="24"/>
              </w:rPr>
              <w:t>0</w:t>
            </w:r>
            <w:ins w:id="9" w:author="user" w:date="2021-09-06T12:38:00Z">
              <w:r>
                <w:rPr>
                  <w:rFonts w:ascii="宋体" w:hAnsi="宋体" w:cs="宋体"/>
                  <w:sz w:val="24"/>
                </w:rPr>
                <w:t>0</w:t>
              </w:r>
            </w:ins>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8CE82">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F73B1">
            <w:pPr>
              <w:jc w:val="center"/>
              <w:rPr>
                <w:rFonts w:ascii="宋体" w:hAnsi="宋体" w:cs="宋体"/>
                <w:sz w:val="24"/>
              </w:rPr>
            </w:pPr>
            <w:r>
              <w:rPr>
                <w:rFonts w:ascii="宋体" w:hAnsi="宋体" w:cs="宋体"/>
                <w:sz w:val="24"/>
              </w:rPr>
              <w:t>0</w:t>
            </w:r>
            <w:ins w:id="10" w:author="user" w:date="2021-09-06T12:38:00Z">
              <w:r>
                <w:rPr>
                  <w:rFonts w:ascii="宋体" w:hAnsi="宋体" w:cs="宋体"/>
                  <w:sz w:val="24"/>
                </w:rPr>
                <w:t>0</w:t>
              </w:r>
            </w:ins>
          </w:p>
        </w:tc>
      </w:tr>
      <w:tr w14:paraId="5C0D3DA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DD6E2">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3B142">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AE0FC">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14:paraId="6B0C7A68">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DE3E4">
            <w:pPr>
              <w:jc w:val="center"/>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E0C74">
            <w:pPr>
              <w:widowControl/>
              <w:jc w:val="center"/>
              <w:textAlignment w:val="center"/>
              <w:rPr>
                <w:rFonts w:ascii="宋体" w:hAnsi="宋体" w:cs="宋体"/>
                <w:sz w:val="24"/>
              </w:rPr>
            </w:pPr>
            <w:r>
              <w:rPr>
                <w:rFonts w:hint="eastAsia" w:ascii="宋体" w:hAnsi="宋体" w:cs="宋体"/>
                <w:sz w:val="24"/>
              </w:rPr>
              <w:t>2018年6月30日前：完成建筑方案设计；完成全过程咨询单位招标；完成信息化工程的设计，监理，总集，路网运行监测及应急指挥调度软件设计施工总承包，视频会议及OA系统设计施工总承包招标。2018年12月30日前：完成房建工程设计批复，力争2018年10月底灾备中心破土动工；完成信息化工程设计批复，启动信息化工程施工招标，推进已招标信息化工程项目建设。形象进度：设计完成95%，房建基坑开挖完成100%，地下室主体工程完成50%，信息化施工完成6%，投资完成约4200万元（建安工程2000万，信息化施工300万，设计监理咨询等900万，市政基础设施配套费等前期费用1000万），占总投资约16%。2019年6月30日前：主体结构封顶；2019年12月30前：完成竣工验收；2020年6月30日前：完成综合验收，整体移交。</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AB8D9">
            <w:pPr>
              <w:widowControl/>
              <w:jc w:val="center"/>
              <w:textAlignment w:val="center"/>
              <w:rPr>
                <w:rFonts w:ascii="宋体" w:hAnsi="宋体" w:cs="宋体"/>
                <w:sz w:val="24"/>
              </w:rPr>
            </w:pPr>
            <w:r>
              <w:rPr>
                <w:rFonts w:hint="eastAsia" w:ascii="宋体" w:hAnsi="宋体" w:cs="宋体"/>
                <w:sz w:val="24"/>
              </w:rPr>
              <w:t>2018年6月30日前：完成建筑方案设计；完成全过程咨询单位招标；完成信息化工程的设计，监理，总集，路网运行监测及应急指挥调度软件设计施工总承包，视频会议及OA系统设计施工总承包招标。2018年12月30日前：完成房建工程设计批复，力争2018年10月底灾备中心破土动工；完成信息化工程设计批复，启动信息化工程施工招标，推进已招标信息化工程项目建设。形象进度：设计完成95%，房建基坑开挖完成100%，地下室主体工程完成50%，信息化施工完成6%，投资完成约4200万元（建安工程2000万，信息化施工300万，设计监理咨询等900万，市政基础设施配套费等前期费用1000万），占总投资约16%。2019年6月30日前：主体结构封顶；2019年12月30前：完成竣工验收；2020年6月30日前：完成综合验收，整体移交。</w:t>
            </w:r>
          </w:p>
        </w:tc>
      </w:tr>
      <w:tr w14:paraId="18C22097">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42827C1">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A1766">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17A31">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0BDA6">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F321D">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93E75">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14:paraId="7E027C33">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FB32331">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A4BA5">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92DE3">
            <w:pPr>
              <w:widowControl/>
              <w:jc w:val="center"/>
              <w:textAlignment w:val="center"/>
              <w:rPr>
                <w:rFonts w:ascii="宋体" w:hAnsi="宋体" w:cs="宋体"/>
                <w:sz w:val="24"/>
              </w:rPr>
            </w:pPr>
            <w:r>
              <w:rPr>
                <w:rFonts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C2603">
            <w:pPr>
              <w:widowControl/>
              <w:jc w:val="center"/>
              <w:textAlignment w:val="center"/>
              <w:rPr>
                <w:rFonts w:ascii="宋体" w:hAnsi="宋体" w:cs="宋体"/>
                <w:sz w:val="24"/>
              </w:rPr>
            </w:pPr>
            <w:r>
              <w:rPr>
                <w:rFonts w:ascii="宋体" w:hAnsi="宋体" w:cs="宋体"/>
                <w:sz w:val="24"/>
              </w:rPr>
              <w:t>项目建筑面积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32928">
            <w:pPr>
              <w:widowControl/>
              <w:jc w:val="center"/>
              <w:textAlignment w:val="center"/>
              <w:rPr>
                <w:rFonts w:ascii="宋体" w:hAnsi="宋体" w:cs="宋体"/>
                <w:sz w:val="24"/>
              </w:rPr>
            </w:pPr>
            <w:r>
              <w:rPr>
                <w:rFonts w:hint="eastAsia" w:ascii="宋体" w:hAnsi="宋体" w:cs="宋体"/>
                <w:sz w:val="24"/>
              </w:rPr>
              <w:t>房屋总建筑面积32170.8平方米（其中：地上15670.8平方米，地下16500平方米）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0CC5B">
            <w:pPr>
              <w:widowControl/>
              <w:textAlignment w:val="center"/>
              <w:rPr>
                <w:rFonts w:ascii="宋体" w:hAnsi="宋体" w:cs="宋体"/>
                <w:sz w:val="24"/>
              </w:rPr>
            </w:pPr>
            <w:r>
              <w:rPr>
                <w:rFonts w:ascii="宋体" w:hAnsi="宋体" w:cs="宋体"/>
                <w:sz w:val="24"/>
              </w:rPr>
              <w:t>房建</w:t>
            </w:r>
            <w:r>
              <w:rPr>
                <w:rFonts w:hint="eastAsia" w:ascii="宋体" w:hAnsi="宋体" w:cs="宋体"/>
                <w:sz w:val="24"/>
              </w:rPr>
              <w:t>部分</w:t>
            </w:r>
            <w:r>
              <w:rPr>
                <w:rFonts w:ascii="宋体" w:hAnsi="宋体" w:cs="宋体"/>
                <w:sz w:val="24"/>
              </w:rPr>
              <w:t>已完成验收</w:t>
            </w:r>
          </w:p>
        </w:tc>
      </w:tr>
      <w:tr w14:paraId="525D1FA2">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3672777">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B8B2C">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F3932">
            <w:pPr>
              <w:widowControl/>
              <w:jc w:val="center"/>
              <w:textAlignment w:val="center"/>
              <w:rPr>
                <w:rFonts w:ascii="宋体" w:hAnsi="宋体" w:cs="宋体"/>
                <w:sz w:val="24"/>
              </w:rPr>
            </w:pPr>
            <w:r>
              <w:rPr>
                <w:rFonts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07EFA">
            <w:pPr>
              <w:widowControl/>
              <w:jc w:val="center"/>
              <w:textAlignment w:val="center"/>
              <w:rPr>
                <w:rFonts w:ascii="宋体" w:hAnsi="宋体" w:cs="宋体"/>
                <w:sz w:val="24"/>
              </w:rPr>
            </w:pPr>
            <w:r>
              <w:rPr>
                <w:rFonts w:ascii="宋体" w:hAnsi="宋体" w:cs="宋体"/>
                <w:sz w:val="24"/>
              </w:rPr>
              <w:t>财政投入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92DC6">
            <w:pPr>
              <w:widowControl/>
              <w:textAlignment w:val="center"/>
              <w:rPr>
                <w:rFonts w:ascii="宋体" w:hAnsi="宋体" w:cs="宋体"/>
                <w:sz w:val="24"/>
              </w:rPr>
            </w:pPr>
            <w:r>
              <w:rPr>
                <w:rFonts w:hint="eastAsia" w:ascii="宋体" w:hAnsi="宋体" w:cs="宋体"/>
                <w:sz w:val="24"/>
              </w:rPr>
              <w:t>投资初设概算：25464.85万元，已投资8031.88万元，本年度财政预算8710万元。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5F5C9">
            <w:pPr>
              <w:widowControl/>
              <w:jc w:val="center"/>
              <w:textAlignment w:val="center"/>
              <w:rPr>
                <w:rFonts w:ascii="宋体" w:hAnsi="宋体" w:cs="宋体"/>
                <w:sz w:val="24"/>
              </w:rPr>
            </w:pPr>
            <w:r>
              <w:rPr>
                <w:rFonts w:hint="eastAsia" w:ascii="宋体" w:hAnsi="宋体" w:cs="宋体"/>
                <w:sz w:val="24"/>
              </w:rPr>
              <w:t>投资初设概算：25464.85万元，已投资8031.88万元，本年度项目决算8710万元。</w:t>
            </w:r>
          </w:p>
        </w:tc>
      </w:tr>
      <w:tr w14:paraId="5067E857">
        <w:tblPrEx>
          <w:tblCellMar>
            <w:top w:w="0" w:type="dxa"/>
            <w:left w:w="0" w:type="dxa"/>
            <w:bottom w:w="0" w:type="dxa"/>
            <w:right w:w="0" w:type="dxa"/>
          </w:tblCellMar>
        </w:tblPrEx>
        <w:trPr>
          <w:trHeight w:val="1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81A3947">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04A9D">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E8700">
            <w:pPr>
              <w:widowControl/>
              <w:jc w:val="center"/>
              <w:textAlignment w:val="center"/>
              <w:rPr>
                <w:rFonts w:ascii="宋体" w:hAnsi="宋体" w:cs="宋体"/>
                <w:sz w:val="24"/>
              </w:rPr>
            </w:pPr>
            <w:r>
              <w:rPr>
                <w:rFonts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6D074">
            <w:pPr>
              <w:widowControl/>
              <w:jc w:val="center"/>
              <w:textAlignment w:val="center"/>
              <w:rPr>
                <w:rFonts w:ascii="宋体" w:hAnsi="宋体" w:cs="宋体"/>
                <w:sz w:val="24"/>
              </w:rPr>
            </w:pPr>
            <w:r>
              <w:rPr>
                <w:rFonts w:hint="eastAsia" w:ascii="宋体" w:hAnsi="宋体" w:cs="宋体"/>
                <w:sz w:val="24"/>
              </w:rPr>
              <w:t>该项目含软硬件基础设施，通信系统，配套设施，环境支持等系统建设，实现与现有监控结算系统“双活”运行，双方所有数据互为备份，实现全功能，全业务接管操作，确保全省高速公路路网系统安全，可靠，稳定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70058">
            <w:pPr>
              <w:widowControl/>
              <w:jc w:val="center"/>
              <w:textAlignment w:val="center"/>
              <w:rPr>
                <w:rFonts w:hint="eastAsia" w:ascii="宋体" w:hAnsi="宋体" w:eastAsia="宋体" w:cs="宋体"/>
                <w:sz w:val="24"/>
                <w:lang w:eastAsia="zh-CN"/>
              </w:rPr>
            </w:pPr>
            <w:r>
              <w:rPr>
                <w:rFonts w:hint="eastAsia" w:ascii="宋体" w:hAnsi="宋体" w:cs="宋体"/>
                <w:sz w:val="24"/>
              </w:rPr>
              <w:t>该项目含软硬件基础设施，通信系统，配套设施，环境支持等系统建设，实现与现有监控结算系统“双活”运行，双方所有数据互为备份，实现全功能，全业务接管操作，确保全省高速公路路网系统安全，可靠，稳定运行</w:t>
            </w:r>
            <w:r>
              <w:rPr>
                <w:rFonts w:hint="eastAsia" w:ascii="宋体" w:hAnsi="宋体" w:cs="宋体"/>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52A2A">
            <w:pPr>
              <w:widowControl/>
              <w:jc w:val="center"/>
              <w:textAlignment w:val="center"/>
              <w:rPr>
                <w:rFonts w:hint="eastAsia" w:ascii="宋体" w:hAnsi="宋体" w:eastAsia="宋体" w:cs="宋体"/>
                <w:sz w:val="24"/>
                <w:lang w:eastAsia="zh-CN"/>
              </w:rPr>
            </w:pPr>
            <w:r>
              <w:rPr>
                <w:rFonts w:hint="eastAsia" w:ascii="宋体" w:hAnsi="宋体" w:cs="宋体"/>
                <w:sz w:val="24"/>
              </w:rPr>
              <w:t>该项目含软硬件基础设施，通信系统，配套设施，环境支持等系统建设，实现与现有监控结算系统“双活”运行，双方所有数据互为备份，实现全功能，全业务接管操作，确保全省高速公路路网系统安全，可靠，稳定运行</w:t>
            </w:r>
            <w:r>
              <w:rPr>
                <w:rFonts w:hint="eastAsia" w:ascii="宋体" w:hAnsi="宋体" w:cs="宋体"/>
                <w:sz w:val="24"/>
                <w:lang w:eastAsia="zh-CN"/>
              </w:rPr>
              <w:t>。</w:t>
            </w:r>
          </w:p>
        </w:tc>
      </w:tr>
      <w:tr w14:paraId="72F0260C">
        <w:tblPrEx>
          <w:tblCellMar>
            <w:top w:w="0" w:type="dxa"/>
            <w:left w:w="0" w:type="dxa"/>
            <w:bottom w:w="0" w:type="dxa"/>
            <w:right w:w="0" w:type="dxa"/>
          </w:tblCellMar>
        </w:tblPrEx>
        <w:trPr>
          <w:trHeight w:val="153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6648DA8">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B663D">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CEDDD">
            <w:pPr>
              <w:widowControl/>
              <w:jc w:val="center"/>
              <w:textAlignment w:val="center"/>
              <w:rPr>
                <w:rFonts w:ascii="宋体" w:hAnsi="宋体" w:cs="宋体"/>
                <w:sz w:val="24"/>
              </w:rPr>
            </w:pPr>
            <w:r>
              <w:rPr>
                <w:rFonts w:ascii="宋体" w:hAnsi="宋体" w:cs="宋体"/>
                <w:sz w:val="24"/>
              </w:rPr>
              <w:t>可持影响指标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607D6">
            <w:pPr>
              <w:widowControl/>
              <w:jc w:val="center"/>
              <w:textAlignment w:val="center"/>
              <w:rPr>
                <w:rFonts w:ascii="宋体" w:hAnsi="宋体" w:cs="宋体"/>
                <w:sz w:val="24"/>
              </w:rPr>
            </w:pPr>
            <w:r>
              <w:rPr>
                <w:rFonts w:hint="eastAsia" w:ascii="宋体" w:hAnsi="宋体" w:cs="宋体"/>
                <w:sz w:val="24"/>
              </w:rPr>
              <w:t>根据《交通运输“十二五”发展规划》，《公路水路交通运输信息化“十二五”发展规划》等相关文件要求 ，建设省级灾备中心系统，提升了全省智慧交通管理性能及服务水平。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CA561">
            <w:pPr>
              <w:widowControl/>
              <w:jc w:val="center"/>
              <w:textAlignment w:val="center"/>
              <w:rPr>
                <w:rFonts w:hint="eastAsia" w:ascii="宋体" w:hAnsi="宋体" w:eastAsia="宋体" w:cs="宋体"/>
                <w:sz w:val="24"/>
                <w:lang w:eastAsia="zh-CN"/>
              </w:rPr>
            </w:pPr>
            <w:r>
              <w:rPr>
                <w:rFonts w:hint="eastAsia" w:ascii="宋体" w:hAnsi="宋体" w:cs="宋体"/>
                <w:sz w:val="24"/>
              </w:rPr>
              <w:t>根据《交通运输“十二五”发展规划》，《公路水路交通运输信息化“十二五”发展规划》等相关文件要求 ，建设省级灾备中心系统，提升了全省智慧交通管理性能及服务水平</w:t>
            </w:r>
            <w:r>
              <w:rPr>
                <w:rFonts w:hint="eastAsia" w:ascii="宋体" w:hAnsi="宋体" w:cs="宋体"/>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77296">
            <w:pPr>
              <w:widowControl/>
              <w:jc w:val="center"/>
              <w:textAlignment w:val="center"/>
              <w:rPr>
                <w:rFonts w:hint="eastAsia" w:ascii="宋体" w:hAnsi="宋体" w:eastAsia="宋体" w:cs="宋体"/>
                <w:sz w:val="24"/>
                <w:lang w:eastAsia="zh-CN"/>
              </w:rPr>
            </w:pPr>
            <w:r>
              <w:rPr>
                <w:rFonts w:hint="eastAsia" w:ascii="宋体" w:hAnsi="宋体" w:cs="宋体"/>
                <w:sz w:val="24"/>
              </w:rPr>
              <w:t>根据《交通运输“十二五”发展规划》，《公路水路交通运输信息化“十二五”发展规划》等相关文件要求 ，建设省级灾备中心系统，提升了全省智慧交通管理性能及服务水平</w:t>
            </w:r>
            <w:r>
              <w:rPr>
                <w:rFonts w:hint="eastAsia" w:ascii="宋体" w:hAnsi="宋体" w:cs="宋体"/>
                <w:sz w:val="24"/>
                <w:lang w:eastAsia="zh-CN"/>
              </w:rPr>
              <w:t>。</w:t>
            </w:r>
          </w:p>
        </w:tc>
      </w:tr>
      <w:tr w14:paraId="6F92184A">
        <w:tblPrEx>
          <w:tblCellMar>
            <w:top w:w="0" w:type="dxa"/>
            <w:left w:w="0" w:type="dxa"/>
            <w:bottom w:w="0" w:type="dxa"/>
            <w:right w:w="0" w:type="dxa"/>
          </w:tblCellMar>
        </w:tblPrEx>
        <w:trPr>
          <w:trHeight w:val="13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23A13B5">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FBCC0">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1554A">
            <w:pPr>
              <w:widowControl/>
              <w:jc w:val="center"/>
              <w:textAlignment w:val="center"/>
              <w:rPr>
                <w:rFonts w:ascii="宋体" w:hAnsi="宋体" w:cs="宋体"/>
                <w:sz w:val="24"/>
              </w:rPr>
            </w:pPr>
            <w:r>
              <w:rPr>
                <w:rFonts w:ascii="宋体" w:hAnsi="宋体" w:cs="宋体"/>
                <w:sz w:val="24"/>
              </w:rPr>
              <w:t>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A99D8">
            <w:pPr>
              <w:widowControl/>
              <w:jc w:val="center"/>
              <w:textAlignment w:val="center"/>
              <w:rPr>
                <w:rFonts w:ascii="宋体" w:hAnsi="宋体" w:cs="宋体"/>
                <w:sz w:val="24"/>
              </w:rPr>
            </w:pPr>
            <w:r>
              <w:rPr>
                <w:rFonts w:ascii="宋体" w:hAnsi="宋体" w:cs="宋体"/>
                <w:sz w:val="24"/>
              </w:rPr>
              <w:t>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60EB9">
            <w:pPr>
              <w:widowControl/>
              <w:jc w:val="center"/>
              <w:textAlignment w:val="center"/>
              <w:rPr>
                <w:rFonts w:ascii="宋体" w:hAnsi="宋体" w:cs="宋体"/>
                <w:sz w:val="24"/>
              </w:rPr>
            </w:pPr>
            <w:r>
              <w:rPr>
                <w:rFonts w:ascii="宋体" w:hAnsi="宋体" w:cs="宋体"/>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3BA0C">
            <w:pPr>
              <w:widowControl/>
              <w:jc w:val="center"/>
              <w:textAlignment w:val="center"/>
              <w:rPr>
                <w:rFonts w:ascii="宋体" w:hAnsi="宋体" w:cs="宋体"/>
                <w:sz w:val="24"/>
              </w:rPr>
            </w:pPr>
            <w:r>
              <w:rPr>
                <w:rFonts w:ascii="宋体" w:hAnsi="宋体" w:cs="宋体"/>
                <w:sz w:val="24"/>
              </w:rPr>
              <w:t>满意</w:t>
            </w:r>
          </w:p>
        </w:tc>
      </w:tr>
    </w:tbl>
    <w:p w14:paraId="2611E64C">
      <w:pPr>
        <w:pStyle w:val="2"/>
        <w:spacing w:before="93"/>
      </w:pPr>
    </w:p>
    <w:p w14:paraId="45E15339">
      <w:pPr>
        <w:pStyle w:val="2"/>
        <w:spacing w:before="93"/>
        <w:rPr>
          <w:del w:id="11" w:author="user" w:date="2021-09-06T14:35:00Z"/>
        </w:rPr>
      </w:pPr>
    </w:p>
    <w:p w14:paraId="53699043">
      <w:pPr>
        <w:spacing w:line="580" w:lineRule="exact"/>
        <w:rPr>
          <w:rFonts w:ascii="仿宋_GB2312" w:hAnsi="仿宋_GB2312" w:eastAsia="仿宋_GB2312" w:cs="仿宋_GB2312"/>
          <w:sz w:val="32"/>
          <w:szCs w:val="32"/>
        </w:rPr>
      </w:pPr>
    </w:p>
    <w:p w14:paraId="69BDC2BF">
      <w:pPr>
        <w:pStyle w:val="2"/>
        <w:spacing w:before="93"/>
      </w:pPr>
    </w:p>
    <w:p w14:paraId="37A799DF">
      <w:pPr>
        <w:pStyle w:val="2"/>
        <w:spacing w:before="93"/>
      </w:pPr>
    </w:p>
    <w:p w14:paraId="416826C9">
      <w:pPr>
        <w:pStyle w:val="2"/>
        <w:spacing w:before="93"/>
      </w:pPr>
    </w:p>
    <w:p w14:paraId="453062BC">
      <w:pPr>
        <w:pStyle w:val="2"/>
        <w:spacing w:before="93"/>
      </w:pPr>
    </w:p>
    <w:p w14:paraId="509AD2D8">
      <w:pPr>
        <w:pStyle w:val="2"/>
        <w:spacing w:before="93"/>
      </w:pPr>
    </w:p>
    <w:p w14:paraId="7B2E0200">
      <w:pPr>
        <w:pStyle w:val="2"/>
        <w:spacing w:before="93"/>
      </w:pPr>
    </w:p>
    <w:p w14:paraId="549EE657">
      <w:pPr>
        <w:pStyle w:val="2"/>
        <w:spacing w:before="93"/>
        <w:rPr>
          <w:del w:id="12" w:author="user" w:date="2021-09-06T14:35:00Z"/>
        </w:rPr>
      </w:pPr>
    </w:p>
    <w:p w14:paraId="414BB020">
      <w:pPr>
        <w:numPr>
          <w:ilvl w:val="0"/>
          <w:numId w:val="6"/>
        </w:numPr>
        <w:spacing w:line="600" w:lineRule="exact"/>
        <w:ind w:firstLine="660" w:firstLineChars="150"/>
        <w:jc w:val="center"/>
        <w:outlineLvl w:val="0"/>
        <w:rPr>
          <w:rStyle w:val="27"/>
          <w:rFonts w:ascii="黑体" w:hAnsi="黑体" w:eastAsia="黑体"/>
          <w:b w:val="0"/>
        </w:rPr>
      </w:pPr>
      <w:bookmarkStart w:id="56" w:name="_Toc15396613"/>
      <w:bookmarkStart w:id="57"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56"/>
      <w:bookmarkEnd w:id="57"/>
    </w:p>
    <w:p w14:paraId="31175B8B">
      <w:pPr>
        <w:spacing w:line="600" w:lineRule="exact"/>
        <w:jc w:val="left"/>
        <w:rPr>
          <w:rFonts w:ascii="宋体"/>
          <w:b/>
          <w:color w:val="000000"/>
          <w:sz w:val="44"/>
          <w:szCs w:val="44"/>
        </w:rPr>
      </w:pPr>
    </w:p>
    <w:p w14:paraId="33877B17">
      <w:pPr>
        <w:pStyle w:val="2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14:paraId="7B8ED0E5">
      <w:pPr>
        <w:pStyle w:val="2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2.事业收入：指事业单位开展专业业务活动及辅助活动取得的收入。</w:t>
      </w:r>
    </w:p>
    <w:p w14:paraId="51C6ABF2">
      <w:pPr>
        <w:pStyle w:val="2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3.经营收入：指事业单位在专业业务活动及其辅助活动之外开展非独立核算经营活动取得的收入。</w:t>
      </w:r>
    </w:p>
    <w:p w14:paraId="0CFFB297">
      <w:pPr>
        <w:pStyle w:val="2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4.其他收入：指单位取得的除上述收入以外的各项收入。 </w:t>
      </w:r>
    </w:p>
    <w:p w14:paraId="0060E6D7">
      <w:pPr>
        <w:pStyle w:val="2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5.使用非财政拨款结余：指事业单位使用以前年度积累的非财政拨款结余弥补当年收支差额的金额。 </w:t>
      </w:r>
    </w:p>
    <w:p w14:paraId="612F764A">
      <w:pPr>
        <w:pStyle w:val="2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6.年初结转和结余：指以前年度尚未完成、结转到本年按有关规定继续使用的资金。 </w:t>
      </w:r>
    </w:p>
    <w:p w14:paraId="510FACC3">
      <w:pPr>
        <w:pStyle w:val="2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bookmarkStart w:id="58" w:name="_Hlk81504660"/>
      <w:r>
        <w:rPr>
          <w:rFonts w:hint="eastAsia" w:ascii="仿宋" w:hAnsi="仿宋" w:eastAsia="仿宋" w:cs="仿宋"/>
          <w:sz w:val="32"/>
          <w:szCs w:val="32"/>
        </w:rPr>
        <w:t>.</w:t>
      </w:r>
      <w:bookmarkEnd w:id="58"/>
      <w:r>
        <w:rPr>
          <w:rFonts w:hint="eastAsia" w:ascii="仿宋" w:hAnsi="仿宋" w:eastAsia="仿宋" w:cs="仿宋"/>
          <w:sz w:val="32"/>
          <w:szCs w:val="32"/>
        </w:rPr>
        <w:t>结余分配：指事业单位按照会计制度规定缴纳的所得税、提取的专用结余以及转入非财政拨款结余的金额等。</w:t>
      </w:r>
    </w:p>
    <w:p w14:paraId="0B1142D1">
      <w:pPr>
        <w:pStyle w:val="2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8.年末结转和结余：指单位按有关规定结转到下年或以后年度继续使用的资金。</w:t>
      </w:r>
    </w:p>
    <w:p w14:paraId="387B462C">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9.教育（类）进修及培训（款）培训支出（项）：指单位安排的用于培训的支出。</w:t>
      </w:r>
    </w:p>
    <w:p w14:paraId="0E4C9FBB">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10.</w:t>
      </w:r>
      <w:bookmarkStart w:id="59" w:name="_Hlk81504373"/>
      <w:r>
        <w:rPr>
          <w:rFonts w:hint="eastAsia" w:ascii="仿宋" w:hAnsi="仿宋" w:eastAsia="仿宋" w:cs="仿宋"/>
          <w:color w:val="000000"/>
          <w:sz w:val="32"/>
          <w:szCs w:val="32"/>
        </w:rPr>
        <w:t>社会保障和就业（类）行政事业单位养老支出（款）机关事业单位基本养老保险缴费支出（项）：指</w:t>
      </w:r>
      <w:bookmarkEnd w:id="59"/>
      <w:r>
        <w:rPr>
          <w:rFonts w:hint="eastAsia" w:ascii="仿宋" w:hAnsi="仿宋" w:eastAsia="仿宋" w:cs="仿宋"/>
          <w:color w:val="000000"/>
          <w:sz w:val="32"/>
          <w:szCs w:val="32"/>
        </w:rPr>
        <w:t>机关事业单位实施养老保险制度由单位缴纳的基本养老保险费支出。</w:t>
      </w:r>
    </w:p>
    <w:p w14:paraId="1F889569">
      <w:pPr>
        <w:pStyle w:val="2"/>
        <w:spacing w:before="93"/>
        <w:rPr>
          <w:rFonts w:hint="eastAsia" w:ascii="仿宋" w:hAnsi="仿宋" w:eastAsia="仿宋" w:cs="仿宋"/>
        </w:rPr>
      </w:pPr>
      <w:r>
        <w:rPr>
          <w:rFonts w:hint="eastAsia" w:ascii="仿宋" w:hAnsi="仿宋" w:eastAsia="仿宋" w:cs="仿宋"/>
        </w:rPr>
        <w:t xml:space="preserve">     11.</w:t>
      </w:r>
      <w:r>
        <w:rPr>
          <w:rFonts w:hint="eastAsia" w:ascii="仿宋" w:hAnsi="仿宋" w:eastAsia="仿宋" w:cs="仿宋"/>
          <w:color w:val="000000"/>
          <w:sz w:val="32"/>
          <w:szCs w:val="32"/>
        </w:rPr>
        <w:t>社会保障和就业（类）行政事业单位养老支出（款）机关事业单位职业年金缴费支出（项）：指机关事业单位实施养老保险制度由单位实际缴纳的职业年金支出</w:t>
      </w:r>
    </w:p>
    <w:p w14:paraId="166ADFB7">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12.社会保障和就业（类）抚恤（款）死亡抚恤（项）：指按规定用于病故人员家属的一次性和定期抚恤金以及丧葬补助费。</w:t>
      </w:r>
    </w:p>
    <w:p w14:paraId="2C2484FA">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13.</w:t>
      </w:r>
      <w:r>
        <w:rPr>
          <w:rFonts w:hint="eastAsia" w:ascii="仿宋" w:hAnsi="仿宋" w:eastAsia="仿宋" w:cs="仿宋"/>
          <w:sz w:val="32"/>
          <w:szCs w:val="32"/>
        </w:rPr>
        <w:t>卫生健康</w:t>
      </w:r>
      <w:r>
        <w:rPr>
          <w:rStyle w:val="16"/>
          <w:rFonts w:hint="eastAsia" w:ascii="仿宋" w:hAnsi="仿宋" w:eastAsia="仿宋" w:cs="仿宋"/>
          <w:b w:val="0"/>
          <w:sz w:val="32"/>
          <w:szCs w:val="32"/>
        </w:rPr>
        <w:t>（类）行政事业医疗（款）事业单位医疗（项）:指财政部门安排的事业单位基本医疗保险经费缴费。</w:t>
      </w:r>
    </w:p>
    <w:p w14:paraId="6B8FC653">
      <w:pPr>
        <w:spacing w:line="600" w:lineRule="exact"/>
        <w:ind w:firstLine="640" w:firstLineChars="200"/>
        <w:rPr>
          <w:rFonts w:hint="eastAsia" w:ascii="仿宋" w:hAnsi="仿宋" w:eastAsia="仿宋" w:cs="仿宋"/>
          <w:sz w:val="32"/>
          <w:szCs w:val="32"/>
        </w:rPr>
      </w:pPr>
      <w:r>
        <w:rPr>
          <w:rStyle w:val="16"/>
          <w:rFonts w:hint="eastAsia" w:ascii="仿宋" w:hAnsi="仿宋" w:eastAsia="仿宋" w:cs="仿宋"/>
          <w:b w:val="0"/>
          <w:sz w:val="32"/>
          <w:szCs w:val="32"/>
        </w:rPr>
        <w:t>14.</w:t>
      </w:r>
      <w:r>
        <w:rPr>
          <w:rFonts w:hint="eastAsia" w:ascii="仿宋" w:hAnsi="仿宋" w:eastAsia="仿宋" w:cs="仿宋"/>
          <w:sz w:val="32"/>
          <w:szCs w:val="32"/>
        </w:rPr>
        <w:t>交通运输支出</w:t>
      </w:r>
      <w:r>
        <w:rPr>
          <w:rStyle w:val="16"/>
          <w:rFonts w:hint="eastAsia" w:ascii="仿宋" w:hAnsi="仿宋" w:eastAsia="仿宋" w:cs="仿宋"/>
          <w:b w:val="0"/>
          <w:sz w:val="32"/>
          <w:szCs w:val="32"/>
        </w:rPr>
        <w:t>（类）公路水路运输（款）交通运输信息化建设（项）：指交通运输信息化建设支出。</w:t>
      </w:r>
    </w:p>
    <w:p w14:paraId="522D4FE1">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15.交通运输支出</w:t>
      </w:r>
      <w:r>
        <w:rPr>
          <w:rStyle w:val="16"/>
          <w:rFonts w:hint="eastAsia" w:ascii="仿宋" w:hAnsi="仿宋" w:eastAsia="仿宋" w:cs="仿宋"/>
          <w:b w:val="0"/>
          <w:sz w:val="32"/>
          <w:szCs w:val="32"/>
        </w:rPr>
        <w:t>（类）公路水路运输（款）其他公路水路运输支出（项）：指其他用于公路水路运输方面的支出。</w:t>
      </w:r>
    </w:p>
    <w:p w14:paraId="6701650C">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16.住房保障支出</w:t>
      </w:r>
      <w:r>
        <w:rPr>
          <w:rStyle w:val="16"/>
          <w:rFonts w:hint="eastAsia" w:ascii="仿宋" w:hAnsi="仿宋" w:eastAsia="仿宋" w:cs="仿宋"/>
          <w:b w:val="0"/>
          <w:sz w:val="32"/>
          <w:szCs w:val="32"/>
        </w:rPr>
        <w:t>（类）住房改革支出（款）住房公积金（项）：指行政事业单位按人力资源和社会保障部、财政部规定的基本工资和津贴补贴以及规定比例为职工缴纳的住房公积金。</w:t>
      </w:r>
    </w:p>
    <w:p w14:paraId="15AC10EF">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17.住房保障支出</w:t>
      </w:r>
      <w:r>
        <w:rPr>
          <w:rStyle w:val="16"/>
          <w:rFonts w:hint="eastAsia" w:ascii="仿宋" w:hAnsi="仿宋" w:eastAsia="仿宋" w:cs="仿宋"/>
          <w:b w:val="0"/>
          <w:sz w:val="32"/>
          <w:szCs w:val="32"/>
        </w:rPr>
        <w:t>（类）住房改革支出（款）购房补贴（项）：指按房改政策规定的标准，行政事业单位向职工（含离退休人员）发放的租金补贴。</w:t>
      </w:r>
    </w:p>
    <w:p w14:paraId="1F6F3437">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18.基本支出：指为保障机构正常运转、完成日常工作任务而发生的人员支出和公用支出。</w:t>
      </w:r>
    </w:p>
    <w:p w14:paraId="7381524A">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19.项目支出：指在基本支出之外为完成特定行政任务和事业发展目标所发生的支出。 </w:t>
      </w:r>
    </w:p>
    <w:p w14:paraId="249CFD54">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w:t>
      </w:r>
      <w:r>
        <w:rPr>
          <w:rFonts w:hint="eastAsia" w:ascii="仿宋" w:hAnsi="仿宋" w:eastAsia="仿宋" w:cs="仿宋"/>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8C87F95">
      <w:pPr>
        <w:spacing w:line="600" w:lineRule="exact"/>
        <w:jc w:val="center"/>
        <w:outlineLvl w:val="0"/>
        <w:rPr>
          <w:rStyle w:val="27"/>
          <w:rFonts w:ascii="黑体" w:hAnsi="黑体" w:eastAsia="黑体"/>
          <w:b w:val="0"/>
        </w:rPr>
      </w:pPr>
      <w:bookmarkStart w:id="60" w:name="_Toc15377226"/>
      <w:r>
        <w:rPr>
          <w:rFonts w:ascii="宋体"/>
          <w:b/>
          <w:color w:val="000000"/>
          <w:sz w:val="44"/>
          <w:szCs w:val="44"/>
        </w:rPr>
        <w:br w:type="page"/>
      </w:r>
      <w:bookmarkStart w:id="61"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61"/>
    </w:p>
    <w:p w14:paraId="1C553AD6">
      <w:pPr>
        <w:spacing w:line="580" w:lineRule="exact"/>
        <w:rPr>
          <w:rFonts w:ascii="仿宋_GB2312" w:hAnsi="仿宋_GB2312" w:eastAsia="仿宋_GB2312" w:cs="仿宋_GB2312"/>
          <w:sz w:val="32"/>
          <w:szCs w:val="32"/>
        </w:rPr>
      </w:pPr>
    </w:p>
    <w:p w14:paraId="13EB5C6A">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202</w:t>
      </w:r>
      <w:r>
        <w:rPr>
          <w:rFonts w:hint="eastAsia" w:ascii="方正小标宋简体" w:hAnsi="宋体" w:eastAsia="方正小标宋简体"/>
          <w:kern w:val="0"/>
          <w:sz w:val="44"/>
          <w:szCs w:val="44"/>
        </w:rPr>
        <w:t>0</w:t>
      </w:r>
      <w:r>
        <w:rPr>
          <w:rFonts w:hint="eastAsia" w:ascii="方正小标宋简体" w:hAnsi="宋体" w:eastAsia="方正小标宋简体"/>
          <w:kern w:val="0"/>
          <w:sz w:val="44"/>
          <w:szCs w:val="44"/>
          <w:lang w:val="zh-CN"/>
        </w:rPr>
        <w:t>年四川省高速公路监控结算中心和灾备中心改造建设工程项目支出</w:t>
      </w:r>
    </w:p>
    <w:p w14:paraId="5C3C2725">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绩效自评报告</w:t>
      </w:r>
    </w:p>
    <w:p w14:paraId="1894BEE4">
      <w:pPr>
        <w:spacing w:line="6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（四川省交通运输厅高速公路监控结算中心自评）</w:t>
      </w:r>
    </w:p>
    <w:p w14:paraId="22B3ADFF">
      <w:pPr>
        <w:spacing w:line="600" w:lineRule="exact"/>
        <w:ind w:firstLine="640"/>
        <w:jc w:val="center"/>
        <w:rPr>
          <w:rFonts w:ascii="宋体" w:hAnsi="宋体"/>
          <w:sz w:val="32"/>
          <w:szCs w:val="32"/>
          <w:lang w:val="zh-CN"/>
        </w:rPr>
      </w:pPr>
    </w:p>
    <w:p w14:paraId="00063439">
      <w:pPr>
        <w:pStyle w:val="26"/>
        <w:numPr>
          <w:ilvl w:val="0"/>
          <w:numId w:val="7"/>
        </w:numPr>
        <w:adjustRightInd w:val="0"/>
        <w:snapToGrid w:val="0"/>
        <w:spacing w:line="600" w:lineRule="exact"/>
        <w:ind w:firstLineChars="0"/>
        <w:rPr>
          <w:rFonts w:ascii="黑体" w:hAnsi="宋体" w:eastAsia="黑体"/>
          <w:sz w:val="32"/>
          <w:szCs w:val="32"/>
          <w:lang w:val="zh-CN"/>
        </w:rPr>
      </w:pPr>
      <w:r>
        <w:rPr>
          <w:rFonts w:hint="eastAsia" w:ascii="黑体" w:hAnsi="宋体" w:eastAsia="黑体"/>
          <w:sz w:val="32"/>
          <w:szCs w:val="32"/>
          <w:lang w:val="zh-CN"/>
        </w:rPr>
        <w:t>项目概况</w:t>
      </w:r>
    </w:p>
    <w:p w14:paraId="790521EF">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2015年12月，四川省发展和改革委员会《关于审批四川省高速公路监控结算中心和灾备中心改造工程可行性研究报告的函》(川发改基础函﹝2015﹞1274号)中，批复了该项目工程可行性研究报告，同意建设四川省高速公路监控结算中心和灾备中心改造工程，批复项目估算总投资为14,997.00万元，资金来源：申请省级财政资金。</w:t>
      </w:r>
    </w:p>
    <w:p w14:paraId="2657B3B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根据交通运输部新的工作要求及交通运输厅路网中心建立与发展需要，为节约利用资源，同时受限于原选址高速公路干线网接入难度大等实际困难，需将高速公路监控结算中心、灾备中心和路网中心合并设置。2018年6月，四川省发展和改革委员会《关于调整审批四川省高速公路监控结算中心和灾备中心改造工程可行性研究报告部分内容的函》(川发改基础函﹝2018﹞801号文)中，批复了调整项目选址及相关内容，具体如下：</w:t>
      </w:r>
    </w:p>
    <w:p w14:paraId="225896FE">
      <w:pPr>
        <w:pStyle w:val="2"/>
        <w:spacing w:before="93"/>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项目建设地点：成都市双流区西航港街道大件路白家段118号。</w:t>
      </w:r>
    </w:p>
    <w:p w14:paraId="620CD3C1">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项目建设规模：实施四川省高速公路监控结算中心和灾备中心“双活”建造。具体包括机电系统（数据处理和存储系统、应用支撑平台、网络系统、安全系统、备份系统、运行和维护系统及其它配套系统）、房屋建设。</w:t>
      </w:r>
    </w:p>
    <w:p w14:paraId="52C4A354">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项目建设内容：将建设综合业务平台、联网收费结算平台、实现高速公路网“路网运行监测”、“应急指挥”、“收费结算”、“收费稽核”、“试验检测”、“政务支撑”六大功能，其中政务支撑包含OA、视频会议、路网呼叫。</w:t>
      </w:r>
    </w:p>
    <w:p w14:paraId="0512B311">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项目总投资及资金来源：项目预计总投资23,868.14万元，较原工可报告投资增加8,871.14万元。原工可报告所计列资金来源为四川省财政资金，新增资金从厅以后年度省级财政交通专项资金中安排。</w:t>
      </w:r>
    </w:p>
    <w:p w14:paraId="322BCEE1">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项目建设单位：四川省交通运输厅高速公路监控结算中心。</w:t>
      </w:r>
    </w:p>
    <w:p w14:paraId="56B4E40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146B1829">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rPr>
        <w:t>2020年四川省高速公路监控结算中心严格按资金管理办法等相关规定，申请该项目财政资金8,710万元，当年财政批复拨款8,710万元，已经全部支付到位。</w:t>
      </w:r>
    </w:p>
    <w:p w14:paraId="146CCB7A">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（二）项目绩效目标。</w:t>
      </w:r>
    </w:p>
    <w:p w14:paraId="02903817">
      <w:pPr>
        <w:spacing w:line="360" w:lineRule="auto"/>
        <w:ind w:firstLine="640" w:firstLineChars="200"/>
        <w:jc w:val="left"/>
        <w:rPr>
          <w:rFonts w:hint="eastAsia" w:ascii="仿宋" w:hAnsi="仿宋" w:eastAsia="仿宋" w:cs="仿宋"/>
          <w:sz w:val="32"/>
          <w:szCs w:val="32"/>
        </w:rPr>
      </w:pPr>
      <w:bookmarkStart w:id="62" w:name="_Hlk81502641"/>
      <w:r>
        <w:rPr>
          <w:rFonts w:hint="eastAsia" w:ascii="仿宋" w:hAnsi="仿宋" w:eastAsia="仿宋" w:cs="仿宋"/>
          <w:sz w:val="32"/>
          <w:szCs w:val="32"/>
        </w:rPr>
        <w:t>四川省高速公路监控结算中心和灾备中心改造建设工程项目</w:t>
      </w:r>
      <w:bookmarkEnd w:id="62"/>
      <w:r>
        <w:rPr>
          <w:rFonts w:hint="eastAsia" w:ascii="仿宋" w:hAnsi="仿宋" w:eastAsia="仿宋" w:cs="仿宋"/>
          <w:sz w:val="32"/>
          <w:szCs w:val="32"/>
        </w:rPr>
        <w:t>总体上以满足“十三五”及未来全省高速公路建设、管理和服务的发展需要，实现省域高速公路网的信息资源整合，为四川省大交通提供必要支撑，力争建设一个“管理高效、服务至上、技术领先”且“世界一流、国内领先”的高速公路监控结算中心。</w:t>
      </w:r>
    </w:p>
    <w:p w14:paraId="35BA652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14:paraId="601BC7EE">
      <w:pPr>
        <w:pStyle w:val="2"/>
        <w:spacing w:before="93"/>
        <w:ind w:firstLine="640" w:firstLineChars="200"/>
        <w:rPr>
          <w:rFonts w:hint="eastAsia" w:ascii="仿宋" w:hAnsi="仿宋" w:eastAsia="仿宋" w:cs="仿宋"/>
          <w:lang w:val="zh-CN"/>
        </w:rPr>
      </w:pPr>
      <w:bookmarkStart w:id="63" w:name="_Hlk81503664"/>
      <w:r>
        <w:rPr>
          <w:rFonts w:hint="eastAsia" w:ascii="仿宋" w:hAnsi="仿宋" w:eastAsia="仿宋" w:cs="仿宋"/>
          <w:sz w:val="32"/>
          <w:szCs w:val="32"/>
        </w:rPr>
        <w:t>四川省高速公路监控结算中心和灾备中心改造建设工程项目</w:t>
      </w:r>
      <w:bookmarkEnd w:id="63"/>
      <w:r>
        <w:rPr>
          <w:rFonts w:hint="eastAsia" w:ascii="仿宋" w:hAnsi="仿宋" w:eastAsia="仿宋" w:cs="仿宋"/>
          <w:sz w:val="32"/>
          <w:szCs w:val="32"/>
        </w:rPr>
        <w:t>2020年财政资金申报内容与具体实施内容相符，申报目标合理可行。</w:t>
      </w:r>
    </w:p>
    <w:p w14:paraId="56222B5B">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二、项目实施及管理情况</w:t>
      </w:r>
    </w:p>
    <w:p w14:paraId="71252A0E">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14:paraId="7FFDD291">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1．资金计划及到位。2020年四川省高速公路监控结算中心</w:t>
      </w:r>
      <w:bookmarkStart w:id="64" w:name="_Hlk81506195"/>
      <w:r>
        <w:rPr>
          <w:rFonts w:hint="eastAsia" w:ascii="仿宋" w:hAnsi="仿宋" w:eastAsia="仿宋" w:cs="仿宋"/>
          <w:sz w:val="32"/>
          <w:szCs w:val="32"/>
          <w:lang w:val="zh-CN"/>
        </w:rPr>
        <w:t>和灾备中心改造建设项目</w:t>
      </w:r>
      <w:bookmarkEnd w:id="64"/>
      <w:r>
        <w:rPr>
          <w:rFonts w:hint="eastAsia" w:ascii="仿宋" w:hAnsi="仿宋" w:eastAsia="仿宋" w:cs="仿宋"/>
          <w:sz w:val="32"/>
          <w:szCs w:val="32"/>
          <w:lang w:val="zh-CN"/>
        </w:rPr>
        <w:t>资金</w:t>
      </w:r>
      <w:r>
        <w:rPr>
          <w:rFonts w:hint="eastAsia" w:ascii="仿宋" w:hAnsi="仿宋" w:eastAsia="仿宋" w:cs="仿宋"/>
          <w:sz w:val="32"/>
          <w:szCs w:val="32"/>
        </w:rPr>
        <w:t>计划8,710万元，财政实际拨款8,710万元，资金到位率100%。</w:t>
      </w:r>
    </w:p>
    <w:p w14:paraId="65CD91A8">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2．资金使用。截</w:t>
      </w:r>
      <w:r>
        <w:rPr>
          <w:rFonts w:hint="eastAsia" w:ascii="仿宋" w:hAnsi="仿宋" w:eastAsia="仿宋" w:cs="仿宋"/>
          <w:sz w:val="32"/>
          <w:szCs w:val="32"/>
          <w:lang w:val="en-US" w:eastAsia="zh-CN"/>
        </w:rPr>
        <w:t>至</w:t>
      </w:r>
      <w:r>
        <w:rPr>
          <w:rFonts w:hint="eastAsia" w:ascii="仿宋" w:hAnsi="仿宋" w:eastAsia="仿宋" w:cs="仿宋"/>
          <w:sz w:val="32"/>
          <w:szCs w:val="32"/>
          <w:lang w:val="zh-CN"/>
        </w:rPr>
        <w:t>2020年12月31日，四川省高速公路监控结算中心和灾</w:t>
      </w:r>
      <w:r>
        <w:rPr>
          <w:rFonts w:hint="eastAsia" w:ascii="仿宋" w:hAnsi="仿宋" w:eastAsia="仿宋" w:cs="仿宋"/>
          <w:sz w:val="32"/>
          <w:szCs w:val="32"/>
        </w:rPr>
        <w:t>备中心改造建设项目资金实际支出8,710万元，与预算相符。项目资金开支严格，全部用于该项目建设，所有工程建设款支付均合规合法。</w:t>
      </w:r>
    </w:p>
    <w:p w14:paraId="3A668D3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14:paraId="7727091D">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按相关规定，四川省高速公路监控结算中心和灾备中心改造建设工程项目成立了专门的建设管理办公室，下设4</w:t>
      </w:r>
      <w:r>
        <w:rPr>
          <w:rFonts w:hint="eastAsia" w:ascii="仿宋" w:hAnsi="仿宋" w:eastAsia="仿宋" w:cs="仿宋"/>
          <w:sz w:val="32"/>
          <w:szCs w:val="32"/>
          <w:lang w:val="en-US" w:eastAsia="zh-CN"/>
        </w:rPr>
        <w:t>个</w:t>
      </w:r>
      <w:r>
        <w:rPr>
          <w:rFonts w:hint="eastAsia" w:ascii="仿宋" w:hAnsi="仿宋" w:eastAsia="仿宋" w:cs="仿宋"/>
          <w:sz w:val="32"/>
          <w:szCs w:val="32"/>
        </w:rPr>
        <w:t>工作组，分别是：综合组、信息化工程组、房建工作组、合同管理组，并明确每个工作组的具体管理职责。</w:t>
      </w:r>
    </w:p>
    <w:p w14:paraId="1DE1EA72">
      <w:pPr>
        <w:pStyle w:val="2"/>
        <w:spacing w:before="93"/>
        <w:ind w:firstLine="600"/>
        <w:rPr>
          <w:sz w:val="32"/>
          <w:szCs w:val="32"/>
        </w:rPr>
      </w:pPr>
      <w:r>
        <w:rPr>
          <w:rFonts w:hint="eastAsia" w:ascii="仿宋" w:hAnsi="仿宋" w:eastAsia="仿宋" w:cs="仿宋"/>
          <w:sz w:val="32"/>
          <w:szCs w:val="32"/>
        </w:rPr>
        <w:t>该项目严格按资金管理办法、基本建设会计制度、政府会计制度等相关法规，建立健全项目费用支付管理办法、档案管理办法等财务管理制度，依法设置项目</w:t>
      </w:r>
      <w:bookmarkStart w:id="80" w:name="_GoBack"/>
      <w:bookmarkEnd w:id="80"/>
      <w:r>
        <w:rPr>
          <w:rFonts w:hint="eastAsia" w:ascii="仿宋" w:hAnsi="仿宋" w:eastAsia="仿宋" w:cs="仿宋"/>
          <w:sz w:val="32"/>
          <w:szCs w:val="32"/>
        </w:rPr>
        <w:t>会计账</w:t>
      </w:r>
      <w:r>
        <w:rPr>
          <w:rFonts w:hint="eastAsia" w:ascii="仿宋" w:hAnsi="仿宋" w:eastAsia="仿宋" w:cs="仿宋"/>
          <w:sz w:val="32"/>
          <w:szCs w:val="32"/>
          <w:lang w:val="en-US" w:eastAsia="zh-CN"/>
        </w:rPr>
        <w:t>簿</w:t>
      </w:r>
      <w:r>
        <w:rPr>
          <w:rFonts w:hint="eastAsia" w:ascii="仿宋" w:hAnsi="仿宋" w:eastAsia="仿宋" w:cs="仿宋"/>
          <w:sz w:val="32"/>
          <w:szCs w:val="32"/>
        </w:rPr>
        <w:t>，规范会计核算，确保相关凭证的真实性、合法性、有效性。</w:t>
      </w:r>
    </w:p>
    <w:p w14:paraId="57B2ECE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14:paraId="63845150">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按照四川省交通运输厅高速公路管理局《关于成立</w:t>
      </w:r>
      <w:bookmarkStart w:id="65" w:name="_Hlk81502579"/>
      <w:r>
        <w:rPr>
          <w:rFonts w:hint="eastAsia" w:ascii="仿宋" w:hAnsi="仿宋" w:eastAsia="仿宋" w:cs="仿宋"/>
          <w:sz w:val="32"/>
          <w:szCs w:val="32"/>
        </w:rPr>
        <w:t>四川省高速公路监控结算和灾备中心改造工程项目建设</w:t>
      </w:r>
      <w:bookmarkEnd w:id="65"/>
      <w:r>
        <w:rPr>
          <w:rFonts w:hint="eastAsia" w:ascii="仿宋" w:hAnsi="仿宋" w:eastAsia="仿宋" w:cs="仿宋"/>
          <w:sz w:val="32"/>
          <w:szCs w:val="32"/>
        </w:rPr>
        <w:t>领导小组及办公室的通知》（川交高管〔2017〕59号）要求，监控结算中心《关于成立高速公路监控结算中心和灾备中心项目建设管理办公室的通知》（川交结算〔2018〕94号）、《关于调整高速公路监控结算中心和灾备中心项目建设管理办公室成员的通知》（川交结算〔2019〕189号）中，成立了灾备中心建设管理办公室，具体负责项目前期工作和建设管理。</w:t>
      </w:r>
    </w:p>
    <w:p w14:paraId="1F00D42D">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在项目前期工作和建设施工期内，监控结算中心召开办公会会议多次，做好项目中标单位的确定工作、通过了由全过程咨询单位成都励精工程项目管理有限公司提交的《四川省高速公路监控结算中心和灾备中心改造工程房建工程安全文明管理办法》、《四川省高速公路监控结算中心和灾备中心改造工程房建工程房建部分项目管理手册》、《四川省高速公路监控结算中心和灾备中心改造工程房建工程设备材料认质认价管理办法》、《四川省高速公路监控结算中心和灾备中心改造工程房建工程质量管理办法》、《四川省高速公路监控结算中心和灾备中心改造工程房建工程资料管理办法》、《四川省高速公路监控结算中心和灾备中心改造工程房建工程变更管理办法》、《四川省高速公路监控结算中心和灾备中心改造工程房建工程项目费用支付管理办法》。</w:t>
      </w:r>
    </w:p>
    <w:p w14:paraId="0AB0DD16">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项目的全过程咨询服务单位为成都励精工程项目管理有限公司。该项目中的房建工程为勘察、设计、施工总承包工程，通过公开招标确定的承建单位为成都建筑工程集团总公司。由房建工作组指导成都励精工程项目管理有限公司依据全过程咨询合同，开展项目报建、房建工程全过程管理及造价咨询，按照项目管理制度开展房建工程业主方管理工作。</w:t>
      </w:r>
    </w:p>
    <w:p w14:paraId="54355B1F">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14:paraId="2E6C2969">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23B9C2F9">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四川省高速公路监控结算中心和灾备中心改造建设工程项目分成房建工程和信息化工程两部分，其中：</w:t>
      </w:r>
    </w:p>
    <w:p w14:paraId="3345BE4C">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房建工程开工时间是2018年11月30日，项目位于双流区大件路118号，总用地面积15600.01m</w:t>
      </w:r>
      <w:r>
        <w:rPr>
          <w:rFonts w:hint="eastAsia" w:ascii="仿宋" w:hAnsi="仿宋" w:eastAsia="仿宋" w:cs="仿宋"/>
          <w:sz w:val="32"/>
          <w:szCs w:val="32"/>
          <w:vertAlign w:val="superscript"/>
        </w:rPr>
        <w:t>2</w:t>
      </w:r>
      <w:r>
        <w:rPr>
          <w:rFonts w:hint="eastAsia" w:ascii="仿宋" w:hAnsi="仿宋" w:eastAsia="仿宋" w:cs="仿宋"/>
          <w:sz w:val="32"/>
          <w:szCs w:val="32"/>
        </w:rPr>
        <w:t xml:space="preserve"> ，建筑面积 32566.88m</w:t>
      </w:r>
      <w:r>
        <w:rPr>
          <w:rFonts w:hint="eastAsia" w:ascii="仿宋" w:hAnsi="仿宋" w:eastAsia="仿宋" w:cs="仿宋"/>
          <w:sz w:val="32"/>
          <w:szCs w:val="32"/>
          <w:vertAlign w:val="superscript"/>
        </w:rPr>
        <w:t>2</w:t>
      </w:r>
      <w:r>
        <w:rPr>
          <w:rFonts w:hint="eastAsia" w:ascii="仿宋" w:hAnsi="仿宋" w:eastAsia="仿宋" w:cs="仿宋"/>
          <w:sz w:val="32"/>
          <w:szCs w:val="32"/>
        </w:rPr>
        <w:t xml:space="preserve"> （含地下室建筑），由1栋楼地上5层，地下2层，以 L型布局，建筑高度为 20.5 m。项目总承包单位为成都建工集团有限公司，全过程咨询单位为成都励精工程项目管理有限公司，监理单位为成都市市政建设监理有限责任公司，设计单位为四川省交通运输厅公路院，清单评审单位为国众联建设工程管理顾问有限公司。截止到2020年12月30日，主体建设已完工，成都市建筑工程质量监督站及建设单位、勘察单位、设计单位、施工单位、监理单位等五方责任主体对各分项工程实体进行了验收，确认工程档案、施工管理、质量控制资料、各方质量检查报告及评估报告的真实性和完整性。灾备中心项目工程总体已于2020年底竣工验收，验收合格后按合同规定支付项目剩余款项。</w:t>
      </w:r>
    </w:p>
    <w:p w14:paraId="7F515191">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信息化工程概况：开工时间是2018年6月，总集单位为同方股份有限公司，监理单位为北京兴通工程咨询有限公司，设计单位为中通服咨询设计研究院有限公司。工程总集、监理及设计单位于2017年5月开始陆续入场开始工作，同时视频会议和0A系统、路网运行监测及应急指挥调度软件作为总承包单位也提前入场工作。设计单位编制的四川省高速公路监控结算和灾备中心改造工程信息化工程初步设计方案，于2019年9月获厅批复（川交</w:t>
      </w:r>
      <w:r>
        <w:rPr>
          <w:rFonts w:hint="eastAsia" w:ascii="仿宋" w:hAnsi="仿宋" w:eastAsia="仿宋" w:cs="仿宋"/>
          <w:sz w:val="32"/>
          <w:szCs w:val="32"/>
          <w:lang w:eastAsia="zh-CN"/>
        </w:rPr>
        <w:t>函〔2019〕</w:t>
      </w:r>
      <w:r>
        <w:rPr>
          <w:rFonts w:hint="eastAsia" w:ascii="仿宋" w:hAnsi="仿宋" w:eastAsia="仿宋" w:cs="仿宋"/>
          <w:sz w:val="32"/>
          <w:szCs w:val="32"/>
        </w:rPr>
        <w:t>551号）；2020年3月，四川省高速公路监控结算和灾备中心改造工程信息化工程招标方案获厅审查通过，并报发改委备案，于2020年5月开始1-7标段陆续招标并入场工作。截止到2020年9月30日，各标段基本完成了信息机房的建设、设备采购安装，软件开发工作也基本完成，待房建工程完成供电检测并正式供电后，信息化工程将开始进行设备安装及调试，并进行系统部署及测试。预计2020年11月份各标段陆续进行完工验收并进入试运行，预计2021年6月进行信息化工程交工验收。</w:t>
      </w:r>
    </w:p>
    <w:p w14:paraId="22181E16">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62DEF2D5">
      <w:pPr>
        <w:adjustRightInd w:val="0"/>
        <w:snapToGrid w:val="0"/>
        <w:spacing w:line="600" w:lineRule="exact"/>
        <w:ind w:firstLine="720"/>
        <w:rPr>
          <w:rFonts w:ascii="仿宋_GB2312" w:eastAsia="仿宋_GB2312"/>
          <w:sz w:val="32"/>
          <w:szCs w:val="32"/>
        </w:rPr>
      </w:pPr>
      <w:r>
        <w:rPr>
          <w:rFonts w:hint="eastAsia" w:ascii="仿宋" w:hAnsi="仿宋" w:eastAsia="仿宋" w:cs="仿宋"/>
          <w:sz w:val="32"/>
          <w:szCs w:val="32"/>
        </w:rPr>
        <w:t>四川省高速公路监控结算中心和灾备中心改造建设工程项目完成后，将极大提升运营管理部门综合管理的智能化水平，提升公众出行服务的信息化水平，改善社会公众高速公路出行体验。</w:t>
      </w:r>
    </w:p>
    <w:p w14:paraId="0484DD9D">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四、问题及建议</w:t>
      </w:r>
    </w:p>
    <w:p w14:paraId="65F9385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14:paraId="0E49533F">
      <w:pPr>
        <w:pStyle w:val="2"/>
        <w:spacing w:before="93"/>
        <w:ind w:firstLine="560" w:firstLineChars="200"/>
        <w:rPr>
          <w:rFonts w:ascii="仿宋" w:hAnsi="仿宋" w:eastAsia="仿宋"/>
          <w:sz w:val="32"/>
          <w:szCs w:val="32"/>
        </w:rPr>
      </w:pPr>
      <w:r>
        <w:rPr>
          <w:rFonts w:hint="eastAsia" w:ascii="仿宋" w:hAnsi="仿宋" w:eastAsia="仿宋"/>
          <w:sz w:val="28"/>
          <w:szCs w:val="28"/>
        </w:rPr>
        <w:t>房</w:t>
      </w:r>
      <w:r>
        <w:rPr>
          <w:rFonts w:hint="eastAsia" w:ascii="仿宋" w:hAnsi="仿宋" w:eastAsia="仿宋"/>
          <w:sz w:val="32"/>
          <w:szCs w:val="32"/>
        </w:rPr>
        <w:t>建工程建设因每年底环保督察、疫情、雨季影响，工程进度部分滞后；竣工验收、综合验收涉及部门和程序较多，加之本项目为EPC总承包，竣工后结算时间无法按规定的结算时间完成，结算后的费用支付延期。</w:t>
      </w:r>
    </w:p>
    <w:p w14:paraId="05E58255">
      <w:pPr>
        <w:pStyle w:val="2"/>
        <w:spacing w:before="93"/>
        <w:ind w:firstLine="640" w:firstLineChars="200"/>
        <w:rPr>
          <w:lang w:val="zh-CN"/>
        </w:rPr>
      </w:pPr>
      <w:r>
        <w:rPr>
          <w:rFonts w:hint="eastAsia" w:ascii="仿宋" w:hAnsi="仿宋" w:eastAsia="仿宋"/>
          <w:sz w:val="32"/>
          <w:szCs w:val="32"/>
        </w:rPr>
        <w:t>信息化工程建设因疫情、房建工程进度部分滞后等影响；工程进度较预期有所延后，竣工验收涉及部门和程序较多，竣工后结算时间可能延期，会造成结算费用支付延期。</w:t>
      </w:r>
    </w:p>
    <w:p w14:paraId="51498EF5">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（二）相关建议。</w:t>
      </w:r>
    </w:p>
    <w:p w14:paraId="12129170">
      <w:pPr>
        <w:pStyle w:val="2"/>
        <w:spacing w:before="93"/>
        <w:ind w:firstLine="640" w:firstLineChars="200"/>
        <w:rPr>
          <w:rFonts w:hint="eastAsia" w:hAnsi="仿宋_GB2312" w:cs="仿宋_GB2312"/>
          <w:sz w:val="32"/>
          <w:szCs w:val="32"/>
        </w:rPr>
      </w:pPr>
      <w:r>
        <w:rPr>
          <w:rFonts w:hint="eastAsia" w:ascii="仿宋" w:hAnsi="仿宋" w:eastAsia="仿宋" w:cs="仿宋"/>
          <w:sz w:val="32"/>
          <w:szCs w:val="32"/>
        </w:rPr>
        <w:t>进一步加快项目工程建设进度，按合同规定时间完成相关费用结算。</w:t>
      </w:r>
    </w:p>
    <w:p w14:paraId="39ABB9FE">
      <w:pPr>
        <w:pStyle w:val="2"/>
        <w:spacing w:before="93"/>
        <w:ind w:firstLine="640" w:firstLineChars="200"/>
        <w:rPr>
          <w:rFonts w:hint="eastAsia" w:hAnsi="仿宋_GB2312" w:cs="仿宋_GB2312"/>
          <w:sz w:val="32"/>
          <w:szCs w:val="32"/>
          <w:lang w:val="zh-CN"/>
        </w:rPr>
      </w:pPr>
    </w:p>
    <w:p w14:paraId="6331EF3B">
      <w:pPr>
        <w:spacing w:line="600" w:lineRule="exact"/>
        <w:jc w:val="center"/>
        <w:outlineLvl w:val="0"/>
        <w:rPr>
          <w:rFonts w:ascii="仿宋" w:hAnsi="仿宋" w:eastAsia="仿宋"/>
          <w:color w:val="000000"/>
        </w:rPr>
      </w:pPr>
      <w:bookmarkStart w:id="66"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60"/>
      <w:bookmarkEnd w:id="66"/>
      <w:bookmarkStart w:id="67" w:name="_Toc15396619"/>
    </w:p>
    <w:p w14:paraId="243E92B7">
      <w:pPr>
        <w:pStyle w:val="4"/>
        <w:rPr>
          <w:rFonts w:ascii="仿宋" w:hAnsi="仿宋" w:eastAsia="仿宋"/>
          <w:color w:val="000000"/>
        </w:rPr>
      </w:pPr>
      <w:r>
        <w:rPr>
          <w:rFonts w:hint="eastAsia" w:ascii="仿宋" w:hAnsi="仿宋" w:eastAsia="仿宋"/>
          <w:b w:val="0"/>
          <w:color w:val="000000"/>
        </w:rPr>
        <w:t>一、收</w:t>
      </w:r>
      <w:r>
        <w:rPr>
          <w:rStyle w:val="28"/>
          <w:rFonts w:hint="eastAsia" w:ascii="仿宋" w:hAnsi="仿宋" w:eastAsia="仿宋"/>
          <w:b w:val="0"/>
          <w:bCs w:val="0"/>
        </w:rPr>
        <w:t>入支出决算总表</w:t>
      </w:r>
      <w:bookmarkEnd w:id="67"/>
    </w:p>
    <w:p w14:paraId="00CB12EE">
      <w:pPr>
        <w:pStyle w:val="4"/>
        <w:rPr>
          <w:rFonts w:ascii="仿宋" w:hAnsi="仿宋" w:eastAsia="仿宋"/>
          <w:color w:val="000000"/>
        </w:rPr>
      </w:pPr>
      <w:bookmarkStart w:id="68"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68"/>
    </w:p>
    <w:p w14:paraId="0C7A4ADB">
      <w:pPr>
        <w:pStyle w:val="4"/>
        <w:rPr>
          <w:rFonts w:ascii="仿宋" w:hAnsi="仿宋" w:eastAsia="仿宋"/>
          <w:color w:val="000000"/>
        </w:rPr>
      </w:pPr>
      <w:bookmarkStart w:id="69"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9"/>
    </w:p>
    <w:p w14:paraId="0CE1C0B7">
      <w:pPr>
        <w:pStyle w:val="4"/>
        <w:rPr>
          <w:rFonts w:ascii="仿宋" w:hAnsi="仿宋" w:eastAsia="仿宋"/>
          <w:b w:val="0"/>
          <w:color w:val="000000"/>
        </w:rPr>
      </w:pPr>
      <w:bookmarkStart w:id="70"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70"/>
    </w:p>
    <w:p w14:paraId="7FBEACEB">
      <w:pPr>
        <w:pStyle w:val="4"/>
        <w:rPr>
          <w:rStyle w:val="28"/>
          <w:rFonts w:ascii="仿宋" w:hAnsi="仿宋" w:eastAsia="仿宋"/>
          <w:b w:val="0"/>
          <w:bCs w:val="0"/>
        </w:rPr>
      </w:pPr>
      <w:bookmarkStart w:id="71"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71"/>
      <w:bookmarkStart w:id="72" w:name="_Toc15396624"/>
    </w:p>
    <w:p w14:paraId="35700E05">
      <w:pPr>
        <w:pStyle w:val="4"/>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72"/>
    </w:p>
    <w:p w14:paraId="2E69A719">
      <w:pPr>
        <w:pStyle w:val="4"/>
        <w:rPr>
          <w:rFonts w:ascii="仿宋" w:hAnsi="仿宋" w:eastAsia="仿宋"/>
          <w:color w:val="000000"/>
        </w:rPr>
      </w:pPr>
      <w:bookmarkStart w:id="73"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73"/>
    </w:p>
    <w:p w14:paraId="78288563">
      <w:pPr>
        <w:pStyle w:val="4"/>
        <w:rPr>
          <w:rFonts w:ascii="仿宋" w:hAnsi="仿宋" w:eastAsia="仿宋"/>
          <w:color w:val="000000"/>
        </w:rPr>
      </w:pPr>
      <w:bookmarkStart w:id="74"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74"/>
    </w:p>
    <w:p w14:paraId="203AF790">
      <w:pPr>
        <w:pStyle w:val="4"/>
        <w:rPr>
          <w:rFonts w:ascii="仿宋" w:hAnsi="仿宋" w:eastAsia="仿宋"/>
          <w:color w:val="000000"/>
        </w:rPr>
      </w:pPr>
      <w:bookmarkStart w:id="75"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75"/>
    </w:p>
    <w:p w14:paraId="3A5920A3">
      <w:pPr>
        <w:pStyle w:val="4"/>
        <w:rPr>
          <w:rFonts w:ascii="仿宋" w:hAnsi="仿宋" w:eastAsia="仿宋"/>
          <w:color w:val="000000"/>
        </w:rPr>
      </w:pPr>
      <w:bookmarkStart w:id="76"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76"/>
    </w:p>
    <w:p w14:paraId="44E922CE">
      <w:pPr>
        <w:pStyle w:val="4"/>
        <w:rPr>
          <w:rFonts w:ascii="仿宋" w:hAnsi="仿宋" w:eastAsia="仿宋"/>
          <w:color w:val="000000"/>
        </w:rPr>
      </w:pPr>
      <w:bookmarkStart w:id="77"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7"/>
    </w:p>
    <w:p w14:paraId="2545FDE7">
      <w:pPr>
        <w:pStyle w:val="4"/>
        <w:rPr>
          <w:rFonts w:ascii="仿宋" w:hAnsi="仿宋" w:eastAsia="仿宋"/>
          <w:color w:val="000000"/>
        </w:rPr>
      </w:pPr>
      <w:bookmarkStart w:id="78"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8"/>
    </w:p>
    <w:p w14:paraId="330C56EB">
      <w:pPr>
        <w:pStyle w:val="4"/>
        <w:rPr>
          <w:rStyle w:val="28"/>
          <w:rFonts w:ascii="仿宋" w:hAnsi="仿宋" w:eastAsia="仿宋"/>
          <w:b w:val="0"/>
          <w:bCs w:val="0"/>
        </w:rPr>
      </w:pPr>
      <w:bookmarkStart w:id="79"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有资本经营预算财政拨款收入支出决算表</w:t>
      </w:r>
      <w:bookmarkEnd w:id="79"/>
    </w:p>
    <w:p w14:paraId="134A5B40">
      <w:pPr>
        <w:rPr>
          <w:rFonts w:eastAsia="仿宋"/>
        </w:rPr>
      </w:pPr>
      <w:r>
        <w:rPr>
          <w:rStyle w:val="28"/>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4FA667-45BA-4EB3-B9E2-EDDEF1DC2E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0ADE8F-ADA2-4B77-AD58-F38A5CF8530B}"/>
  </w:font>
  <w:font w:name="Cambria">
    <w:panose1 w:val="02040503050406030204"/>
    <w:charset w:val="00"/>
    <w:family w:val="roman"/>
    <w:pitch w:val="default"/>
    <w:sig w:usb0="E00006FF" w:usb1="420024FF" w:usb2="02000000" w:usb3="00000000" w:csb0="2000019F" w:csb1="00000000"/>
    <w:embedRegular r:id="rId3" w:fontKey="{2AD7110C-56B5-4AC5-9C6D-FFA44BF2377E}"/>
  </w:font>
  <w:font w:name="仿宋_GB2312">
    <w:panose1 w:val="02010609030101010101"/>
    <w:charset w:val="86"/>
    <w:family w:val="modern"/>
    <w:pitch w:val="default"/>
    <w:sig w:usb0="00000001" w:usb1="080E0000" w:usb2="00000000" w:usb3="00000000" w:csb0="00040000" w:csb1="00000000"/>
    <w:embedRegular r:id="rId4" w:fontKey="{35CD13CA-6198-4109-9352-F6ED0F8791DB}"/>
  </w:font>
  <w:font w:name="仿宋">
    <w:panose1 w:val="02010609060101010101"/>
    <w:charset w:val="86"/>
    <w:family w:val="modern"/>
    <w:pitch w:val="default"/>
    <w:sig w:usb0="800002BF" w:usb1="38CF7CFA" w:usb2="00000016" w:usb3="00000000" w:csb0="00040001" w:csb1="00000000"/>
    <w:embedRegular r:id="rId5" w:fontKey="{8FABF254-9D46-4E4B-A342-D35127B8F70D}"/>
  </w:font>
  <w:font w:name="方正小标宋简体">
    <w:panose1 w:val="02000000000000000000"/>
    <w:charset w:val="86"/>
    <w:family w:val="auto"/>
    <w:pitch w:val="default"/>
    <w:sig w:usb0="00000001" w:usb1="08000000" w:usb2="00000000" w:usb3="00000000" w:csb0="00040000" w:csb1="00000000"/>
    <w:embedRegular r:id="rId6" w:fontKey="{C9010CE5-7FE6-4A7B-A1C2-54B9F6DAF065}"/>
  </w:font>
  <w:font w:name="微软雅黑">
    <w:panose1 w:val="020B0503020204020204"/>
    <w:charset w:val="86"/>
    <w:family w:val="swiss"/>
    <w:pitch w:val="default"/>
    <w:sig w:usb0="80000287" w:usb1="2ACF3C50" w:usb2="00000016" w:usb3="00000000" w:csb0="0004001F" w:csb1="00000000"/>
    <w:embedRegular r:id="rId7" w:fontKey="{616B5CE8-4208-4C46-B394-5BF9A9BC47DF}"/>
  </w:font>
  <w:font w:name="___WRD_EMBED_SUB_41">
    <w:altName w:val="黑体"/>
    <w:panose1 w:val="00000000000000000000"/>
    <w:charset w:val="86"/>
    <w:family w:val="modern"/>
    <w:pitch w:val="default"/>
    <w:sig w:usb0="00000000" w:usb1="00000000" w:usb2="00000010" w:usb3="00000000" w:csb0="00040000" w:csb1="00000000"/>
    <w:embedRegular r:id="rId8" w:fontKey="{8FA1DD03-1419-4EFE-9ACC-8E193AF7B7D0}"/>
  </w:font>
  <w:font w:name="楷体_GB2312">
    <w:panose1 w:val="02010609030101010101"/>
    <w:charset w:val="86"/>
    <w:family w:val="modern"/>
    <w:pitch w:val="default"/>
    <w:sig w:usb0="00000001" w:usb1="080E0000" w:usb2="00000000" w:usb3="00000000" w:csb0="00040000" w:csb1="00000000"/>
    <w:embedRegular r:id="rId9" w:fontKey="{AB783448-41F2-4136-A422-2F7C14E8C8E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1423EB5">
        <w:pPr>
          <w:pStyle w:val="9"/>
          <w:jc w:val="center"/>
        </w:pPr>
        <w:r>
          <w:fldChar w:fldCharType="begin"/>
        </w:r>
        <w:r>
          <w:instrText xml:space="preserve">PAGE   \* MERGEFORMAT</w:instrText>
        </w:r>
        <w:r>
          <w:fldChar w:fldCharType="separate"/>
        </w:r>
        <w:r>
          <w:rPr>
            <w:lang w:val="zh-CN"/>
          </w:rPr>
          <w:t>15</w:t>
        </w:r>
        <w:r>
          <w:fldChar w:fldCharType="end"/>
        </w:r>
      </w:p>
    </w:sdtContent>
  </w:sdt>
  <w:p w14:paraId="7D2D405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7D4C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rPr>
        <w:rFonts w:hint="eastAsia" w:ascii="黑体" w:hAnsi="黑体" w:eastAsia="黑体" w:cs="黑体"/>
        <w:sz w:val="32"/>
        <w:szCs w:val="32"/>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E8CE13B2"/>
    <w:multiLevelType w:val="singleLevel"/>
    <w:tmpl w:val="E8CE13B2"/>
    <w:lvl w:ilvl="0" w:tentative="0">
      <w:start w:val="1"/>
      <w:numFmt w:val="chineseCounting"/>
      <w:suff w:val="nothing"/>
      <w:lvlText w:val="%1、"/>
      <w:lvlJc w:val="left"/>
      <w:rPr>
        <w:rFonts w:hint="eastAsia"/>
      </w:rPr>
    </w:lvl>
  </w:abstractNum>
  <w:abstractNum w:abstractNumId="4">
    <w:nsid w:val="EB49783B"/>
    <w:multiLevelType w:val="singleLevel"/>
    <w:tmpl w:val="EB49783B"/>
    <w:lvl w:ilvl="0" w:tentative="0">
      <w:start w:val="1"/>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2104148"/>
    <w:multiLevelType w:val="multilevel"/>
    <w:tmpl w:val="32104148"/>
    <w:lvl w:ilvl="0" w:tentative="0">
      <w:start w:val="1"/>
      <w:numFmt w:val="japaneseCounting"/>
      <w:lvlText w:val="%1、"/>
      <w:lvlJc w:val="left"/>
      <w:pPr>
        <w:ind w:left="1360" w:hanging="64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2EyMDEyZjk1OTMyMGZlNDllYjFhNWEwMTAyZjUifQ=="/>
  </w:docVars>
  <w:rsids>
    <w:rsidRoot w:val="00F1361C"/>
    <w:rsid w:val="00002B12"/>
    <w:rsid w:val="000064E4"/>
    <w:rsid w:val="000222C6"/>
    <w:rsid w:val="0002549F"/>
    <w:rsid w:val="000468DB"/>
    <w:rsid w:val="00057B8F"/>
    <w:rsid w:val="0006487A"/>
    <w:rsid w:val="00065F8F"/>
    <w:rsid w:val="00070A43"/>
    <w:rsid w:val="00075AA6"/>
    <w:rsid w:val="000768F2"/>
    <w:rsid w:val="0009184B"/>
    <w:rsid w:val="00092C28"/>
    <w:rsid w:val="00094236"/>
    <w:rsid w:val="0009593C"/>
    <w:rsid w:val="00096150"/>
    <w:rsid w:val="00097322"/>
    <w:rsid w:val="000A6A92"/>
    <w:rsid w:val="000B047F"/>
    <w:rsid w:val="000B5923"/>
    <w:rsid w:val="000B5A48"/>
    <w:rsid w:val="000B6FF3"/>
    <w:rsid w:val="000C3467"/>
    <w:rsid w:val="000C3CA6"/>
    <w:rsid w:val="000C6948"/>
    <w:rsid w:val="000D1267"/>
    <w:rsid w:val="000D1D50"/>
    <w:rsid w:val="000D5782"/>
    <w:rsid w:val="000E6613"/>
    <w:rsid w:val="000E7119"/>
    <w:rsid w:val="000F2B3C"/>
    <w:rsid w:val="00114E9B"/>
    <w:rsid w:val="001374CB"/>
    <w:rsid w:val="00142216"/>
    <w:rsid w:val="00144D6A"/>
    <w:rsid w:val="001464FD"/>
    <w:rsid w:val="0014729F"/>
    <w:rsid w:val="00152959"/>
    <w:rsid w:val="00157BAB"/>
    <w:rsid w:val="001654D1"/>
    <w:rsid w:val="00174518"/>
    <w:rsid w:val="0018106D"/>
    <w:rsid w:val="00182656"/>
    <w:rsid w:val="001877A7"/>
    <w:rsid w:val="00191536"/>
    <w:rsid w:val="00196687"/>
    <w:rsid w:val="001A079C"/>
    <w:rsid w:val="001A69C8"/>
    <w:rsid w:val="001C0962"/>
    <w:rsid w:val="001D7531"/>
    <w:rsid w:val="001E737D"/>
    <w:rsid w:val="001F0592"/>
    <w:rsid w:val="001F7506"/>
    <w:rsid w:val="00200223"/>
    <w:rsid w:val="002006CD"/>
    <w:rsid w:val="00202B36"/>
    <w:rsid w:val="00204B7A"/>
    <w:rsid w:val="00204CDE"/>
    <w:rsid w:val="0021101A"/>
    <w:rsid w:val="00220536"/>
    <w:rsid w:val="00222A78"/>
    <w:rsid w:val="00235629"/>
    <w:rsid w:val="00260C38"/>
    <w:rsid w:val="002616C0"/>
    <w:rsid w:val="00265372"/>
    <w:rsid w:val="002662AA"/>
    <w:rsid w:val="0027354E"/>
    <w:rsid w:val="00280496"/>
    <w:rsid w:val="00290547"/>
    <w:rsid w:val="00294DC9"/>
    <w:rsid w:val="00295495"/>
    <w:rsid w:val="002A31DE"/>
    <w:rsid w:val="002A6BD7"/>
    <w:rsid w:val="002B2613"/>
    <w:rsid w:val="002D6D05"/>
    <w:rsid w:val="002F1818"/>
    <w:rsid w:val="002F567B"/>
    <w:rsid w:val="00302C1A"/>
    <w:rsid w:val="00314211"/>
    <w:rsid w:val="0031701E"/>
    <w:rsid w:val="003216A9"/>
    <w:rsid w:val="003254E4"/>
    <w:rsid w:val="003323F6"/>
    <w:rsid w:val="00335A74"/>
    <w:rsid w:val="003366AD"/>
    <w:rsid w:val="0036561B"/>
    <w:rsid w:val="0037013F"/>
    <w:rsid w:val="00380C92"/>
    <w:rsid w:val="003A042A"/>
    <w:rsid w:val="003A484F"/>
    <w:rsid w:val="003A4883"/>
    <w:rsid w:val="003A5049"/>
    <w:rsid w:val="003B0BE0"/>
    <w:rsid w:val="003B0C1B"/>
    <w:rsid w:val="003B688C"/>
    <w:rsid w:val="003C0291"/>
    <w:rsid w:val="003C39AE"/>
    <w:rsid w:val="003C7B60"/>
    <w:rsid w:val="003D0C0F"/>
    <w:rsid w:val="003D1FB2"/>
    <w:rsid w:val="003D66DA"/>
    <w:rsid w:val="003E0E0F"/>
    <w:rsid w:val="003E1310"/>
    <w:rsid w:val="003E6F55"/>
    <w:rsid w:val="003F226A"/>
    <w:rsid w:val="00406254"/>
    <w:rsid w:val="004223DE"/>
    <w:rsid w:val="00434489"/>
    <w:rsid w:val="00437085"/>
    <w:rsid w:val="00443880"/>
    <w:rsid w:val="00444125"/>
    <w:rsid w:val="004464F4"/>
    <w:rsid w:val="00471401"/>
    <w:rsid w:val="00473F31"/>
    <w:rsid w:val="0048263A"/>
    <w:rsid w:val="00487302"/>
    <w:rsid w:val="00487E5D"/>
    <w:rsid w:val="004A6F0D"/>
    <w:rsid w:val="004A711F"/>
    <w:rsid w:val="004B199D"/>
    <w:rsid w:val="004B4690"/>
    <w:rsid w:val="004B5AB6"/>
    <w:rsid w:val="004D551B"/>
    <w:rsid w:val="004E0A2D"/>
    <w:rsid w:val="004E206B"/>
    <w:rsid w:val="004E4CAA"/>
    <w:rsid w:val="004E6DF7"/>
    <w:rsid w:val="004F01BF"/>
    <w:rsid w:val="004F0FBD"/>
    <w:rsid w:val="004F6C90"/>
    <w:rsid w:val="00505A47"/>
    <w:rsid w:val="00512FDA"/>
    <w:rsid w:val="005140EE"/>
    <w:rsid w:val="005172E9"/>
    <w:rsid w:val="00520DA0"/>
    <w:rsid w:val="005235A4"/>
    <w:rsid w:val="0054572F"/>
    <w:rsid w:val="005664BB"/>
    <w:rsid w:val="00566FFA"/>
    <w:rsid w:val="0057481D"/>
    <w:rsid w:val="00575424"/>
    <w:rsid w:val="00576053"/>
    <w:rsid w:val="0058486E"/>
    <w:rsid w:val="00585B33"/>
    <w:rsid w:val="0059014D"/>
    <w:rsid w:val="005B4A27"/>
    <w:rsid w:val="005B5C64"/>
    <w:rsid w:val="005C5337"/>
    <w:rsid w:val="005C6BD0"/>
    <w:rsid w:val="005D1C8B"/>
    <w:rsid w:val="005D468D"/>
    <w:rsid w:val="005D5CED"/>
    <w:rsid w:val="005F1A4C"/>
    <w:rsid w:val="00604308"/>
    <w:rsid w:val="00605688"/>
    <w:rsid w:val="006070AF"/>
    <w:rsid w:val="00607E6C"/>
    <w:rsid w:val="006101B1"/>
    <w:rsid w:val="00614E44"/>
    <w:rsid w:val="0062270A"/>
    <w:rsid w:val="00622830"/>
    <w:rsid w:val="00623DA0"/>
    <w:rsid w:val="00630AEF"/>
    <w:rsid w:val="006325F8"/>
    <w:rsid w:val="00633463"/>
    <w:rsid w:val="00634731"/>
    <w:rsid w:val="00634C9A"/>
    <w:rsid w:val="006440E4"/>
    <w:rsid w:val="0066343B"/>
    <w:rsid w:val="00664777"/>
    <w:rsid w:val="006748A4"/>
    <w:rsid w:val="00681A31"/>
    <w:rsid w:val="00683E73"/>
    <w:rsid w:val="006A3141"/>
    <w:rsid w:val="006A5766"/>
    <w:rsid w:val="006A5E34"/>
    <w:rsid w:val="006A7857"/>
    <w:rsid w:val="006B2422"/>
    <w:rsid w:val="006B2B9A"/>
    <w:rsid w:val="006C1937"/>
    <w:rsid w:val="006F020C"/>
    <w:rsid w:val="007127B7"/>
    <w:rsid w:val="0071798E"/>
    <w:rsid w:val="007416B6"/>
    <w:rsid w:val="00746F48"/>
    <w:rsid w:val="0075404D"/>
    <w:rsid w:val="0076182A"/>
    <w:rsid w:val="0076371C"/>
    <w:rsid w:val="00767B7E"/>
    <w:rsid w:val="007757FE"/>
    <w:rsid w:val="007770C3"/>
    <w:rsid w:val="00780FE2"/>
    <w:rsid w:val="00781273"/>
    <w:rsid w:val="00784D24"/>
    <w:rsid w:val="00785FBA"/>
    <w:rsid w:val="00786E4A"/>
    <w:rsid w:val="007875EB"/>
    <w:rsid w:val="0079426B"/>
    <w:rsid w:val="007B0B1C"/>
    <w:rsid w:val="007B68E5"/>
    <w:rsid w:val="007C6E48"/>
    <w:rsid w:val="007D1682"/>
    <w:rsid w:val="007D312A"/>
    <w:rsid w:val="007D3F19"/>
    <w:rsid w:val="007D5480"/>
    <w:rsid w:val="007E23B0"/>
    <w:rsid w:val="007E23E5"/>
    <w:rsid w:val="007E26AE"/>
    <w:rsid w:val="007F1991"/>
    <w:rsid w:val="007F2C2F"/>
    <w:rsid w:val="007F55FC"/>
    <w:rsid w:val="007F5665"/>
    <w:rsid w:val="00800112"/>
    <w:rsid w:val="00813348"/>
    <w:rsid w:val="008161FB"/>
    <w:rsid w:val="00821A44"/>
    <w:rsid w:val="008253BB"/>
    <w:rsid w:val="008279C3"/>
    <w:rsid w:val="0083706E"/>
    <w:rsid w:val="008408F6"/>
    <w:rsid w:val="008423A5"/>
    <w:rsid w:val="00850625"/>
    <w:rsid w:val="00853718"/>
    <w:rsid w:val="00855221"/>
    <w:rsid w:val="0085642B"/>
    <w:rsid w:val="00860645"/>
    <w:rsid w:val="00871F71"/>
    <w:rsid w:val="00872FD8"/>
    <w:rsid w:val="0088303D"/>
    <w:rsid w:val="00885AF4"/>
    <w:rsid w:val="008939CD"/>
    <w:rsid w:val="008B768C"/>
    <w:rsid w:val="008C209C"/>
    <w:rsid w:val="008C4DB1"/>
    <w:rsid w:val="008C4EAF"/>
    <w:rsid w:val="008C5176"/>
    <w:rsid w:val="008C7FD0"/>
    <w:rsid w:val="008E1DE7"/>
    <w:rsid w:val="008E707C"/>
    <w:rsid w:val="00900B08"/>
    <w:rsid w:val="00902155"/>
    <w:rsid w:val="00902FA3"/>
    <w:rsid w:val="009046A7"/>
    <w:rsid w:val="00923564"/>
    <w:rsid w:val="0092392E"/>
    <w:rsid w:val="009315F9"/>
    <w:rsid w:val="00933499"/>
    <w:rsid w:val="00933CC6"/>
    <w:rsid w:val="00935C98"/>
    <w:rsid w:val="00937C47"/>
    <w:rsid w:val="00946945"/>
    <w:rsid w:val="00951248"/>
    <w:rsid w:val="0095152F"/>
    <w:rsid w:val="00954C49"/>
    <w:rsid w:val="00955E37"/>
    <w:rsid w:val="00965D86"/>
    <w:rsid w:val="0097099F"/>
    <w:rsid w:val="00971997"/>
    <w:rsid w:val="00971FFC"/>
    <w:rsid w:val="0098660A"/>
    <w:rsid w:val="009931C3"/>
    <w:rsid w:val="00997E2E"/>
    <w:rsid w:val="009B21D4"/>
    <w:rsid w:val="009B2C43"/>
    <w:rsid w:val="009B4EAE"/>
    <w:rsid w:val="009B7573"/>
    <w:rsid w:val="009C22F4"/>
    <w:rsid w:val="009C2A4B"/>
    <w:rsid w:val="009C2E98"/>
    <w:rsid w:val="009D3447"/>
    <w:rsid w:val="009D4711"/>
    <w:rsid w:val="009D77B5"/>
    <w:rsid w:val="009E64D3"/>
    <w:rsid w:val="009F1185"/>
    <w:rsid w:val="009F18CD"/>
    <w:rsid w:val="009F2A13"/>
    <w:rsid w:val="009F7527"/>
    <w:rsid w:val="00A019E3"/>
    <w:rsid w:val="00A04EB0"/>
    <w:rsid w:val="00A054B6"/>
    <w:rsid w:val="00A12C8D"/>
    <w:rsid w:val="00A13CC1"/>
    <w:rsid w:val="00A16847"/>
    <w:rsid w:val="00A237D8"/>
    <w:rsid w:val="00A268C4"/>
    <w:rsid w:val="00A307CD"/>
    <w:rsid w:val="00A331C8"/>
    <w:rsid w:val="00A40A00"/>
    <w:rsid w:val="00A4142F"/>
    <w:rsid w:val="00A422EB"/>
    <w:rsid w:val="00A45BB7"/>
    <w:rsid w:val="00A56DF2"/>
    <w:rsid w:val="00A56E6E"/>
    <w:rsid w:val="00A60A5E"/>
    <w:rsid w:val="00A653B3"/>
    <w:rsid w:val="00A67AB5"/>
    <w:rsid w:val="00A733B2"/>
    <w:rsid w:val="00A741C2"/>
    <w:rsid w:val="00A91760"/>
    <w:rsid w:val="00A93B00"/>
    <w:rsid w:val="00A93C21"/>
    <w:rsid w:val="00A950D5"/>
    <w:rsid w:val="00AB64C9"/>
    <w:rsid w:val="00AC3C6A"/>
    <w:rsid w:val="00AD3739"/>
    <w:rsid w:val="00AD5620"/>
    <w:rsid w:val="00AD656B"/>
    <w:rsid w:val="00AD7C1B"/>
    <w:rsid w:val="00AE16BA"/>
    <w:rsid w:val="00AE1EBE"/>
    <w:rsid w:val="00AE7B73"/>
    <w:rsid w:val="00AF1CAA"/>
    <w:rsid w:val="00AF3140"/>
    <w:rsid w:val="00B03C9D"/>
    <w:rsid w:val="00B060AE"/>
    <w:rsid w:val="00B10517"/>
    <w:rsid w:val="00B14E76"/>
    <w:rsid w:val="00B161B8"/>
    <w:rsid w:val="00B2048C"/>
    <w:rsid w:val="00B310B9"/>
    <w:rsid w:val="00B35F3F"/>
    <w:rsid w:val="00B36CBB"/>
    <w:rsid w:val="00B40BB4"/>
    <w:rsid w:val="00B414E4"/>
    <w:rsid w:val="00B425E0"/>
    <w:rsid w:val="00B43951"/>
    <w:rsid w:val="00B440AA"/>
    <w:rsid w:val="00B44B70"/>
    <w:rsid w:val="00B53C56"/>
    <w:rsid w:val="00B57DAF"/>
    <w:rsid w:val="00B646F2"/>
    <w:rsid w:val="00B77EA6"/>
    <w:rsid w:val="00B81598"/>
    <w:rsid w:val="00B8288F"/>
    <w:rsid w:val="00B8356C"/>
    <w:rsid w:val="00B841F1"/>
    <w:rsid w:val="00B944D6"/>
    <w:rsid w:val="00BB4DF0"/>
    <w:rsid w:val="00BC289F"/>
    <w:rsid w:val="00BC2D50"/>
    <w:rsid w:val="00BC5361"/>
    <w:rsid w:val="00BC5460"/>
    <w:rsid w:val="00BC5C42"/>
    <w:rsid w:val="00BC6B50"/>
    <w:rsid w:val="00BD0E25"/>
    <w:rsid w:val="00BE365D"/>
    <w:rsid w:val="00BF5BD6"/>
    <w:rsid w:val="00C03E31"/>
    <w:rsid w:val="00C33E72"/>
    <w:rsid w:val="00C354B2"/>
    <w:rsid w:val="00C35554"/>
    <w:rsid w:val="00C42709"/>
    <w:rsid w:val="00C43E84"/>
    <w:rsid w:val="00C533CC"/>
    <w:rsid w:val="00C5751C"/>
    <w:rsid w:val="00C61BFC"/>
    <w:rsid w:val="00C62B85"/>
    <w:rsid w:val="00C6453E"/>
    <w:rsid w:val="00C65438"/>
    <w:rsid w:val="00C87FD8"/>
    <w:rsid w:val="00C91381"/>
    <w:rsid w:val="00C91CBB"/>
    <w:rsid w:val="00CB4E70"/>
    <w:rsid w:val="00CC09B6"/>
    <w:rsid w:val="00CC46D5"/>
    <w:rsid w:val="00CC666F"/>
    <w:rsid w:val="00CD1E3F"/>
    <w:rsid w:val="00CE44F6"/>
    <w:rsid w:val="00CE49DA"/>
    <w:rsid w:val="00CE7B61"/>
    <w:rsid w:val="00CF00B7"/>
    <w:rsid w:val="00CF0582"/>
    <w:rsid w:val="00CF4BE0"/>
    <w:rsid w:val="00D00095"/>
    <w:rsid w:val="00D114F0"/>
    <w:rsid w:val="00D132AD"/>
    <w:rsid w:val="00D20620"/>
    <w:rsid w:val="00D226B2"/>
    <w:rsid w:val="00D254F7"/>
    <w:rsid w:val="00D26091"/>
    <w:rsid w:val="00D2685C"/>
    <w:rsid w:val="00D34E7C"/>
    <w:rsid w:val="00D34FAE"/>
    <w:rsid w:val="00D35489"/>
    <w:rsid w:val="00D36AFE"/>
    <w:rsid w:val="00D50E9D"/>
    <w:rsid w:val="00D51276"/>
    <w:rsid w:val="00D607F0"/>
    <w:rsid w:val="00D650BF"/>
    <w:rsid w:val="00D7035F"/>
    <w:rsid w:val="00DA634F"/>
    <w:rsid w:val="00DA65AC"/>
    <w:rsid w:val="00DB13AF"/>
    <w:rsid w:val="00DB1913"/>
    <w:rsid w:val="00DC4024"/>
    <w:rsid w:val="00DC410D"/>
    <w:rsid w:val="00DC5A81"/>
    <w:rsid w:val="00DC68CA"/>
    <w:rsid w:val="00DC7CBA"/>
    <w:rsid w:val="00DD4701"/>
    <w:rsid w:val="00DD73B7"/>
    <w:rsid w:val="00DD7830"/>
    <w:rsid w:val="00DF28BC"/>
    <w:rsid w:val="00DF34B9"/>
    <w:rsid w:val="00E01053"/>
    <w:rsid w:val="00E07986"/>
    <w:rsid w:val="00E07ACF"/>
    <w:rsid w:val="00E1218A"/>
    <w:rsid w:val="00E31404"/>
    <w:rsid w:val="00E331A1"/>
    <w:rsid w:val="00E33202"/>
    <w:rsid w:val="00E336A9"/>
    <w:rsid w:val="00E4496E"/>
    <w:rsid w:val="00E472B1"/>
    <w:rsid w:val="00E50624"/>
    <w:rsid w:val="00E5164F"/>
    <w:rsid w:val="00E5268C"/>
    <w:rsid w:val="00E52A8F"/>
    <w:rsid w:val="00E568DF"/>
    <w:rsid w:val="00E64269"/>
    <w:rsid w:val="00E82267"/>
    <w:rsid w:val="00E853CE"/>
    <w:rsid w:val="00E867B6"/>
    <w:rsid w:val="00EA010F"/>
    <w:rsid w:val="00EC61C5"/>
    <w:rsid w:val="00ED1B63"/>
    <w:rsid w:val="00ED3C1F"/>
    <w:rsid w:val="00ED4085"/>
    <w:rsid w:val="00ED420E"/>
    <w:rsid w:val="00ED6FBE"/>
    <w:rsid w:val="00EE19B2"/>
    <w:rsid w:val="00EE2F57"/>
    <w:rsid w:val="00EF4C34"/>
    <w:rsid w:val="00EF77C6"/>
    <w:rsid w:val="00F05438"/>
    <w:rsid w:val="00F0618E"/>
    <w:rsid w:val="00F1361C"/>
    <w:rsid w:val="00F156F0"/>
    <w:rsid w:val="00F160C7"/>
    <w:rsid w:val="00F2408F"/>
    <w:rsid w:val="00F240E9"/>
    <w:rsid w:val="00F258A0"/>
    <w:rsid w:val="00F36D8F"/>
    <w:rsid w:val="00F417B1"/>
    <w:rsid w:val="00F4579A"/>
    <w:rsid w:val="00F45853"/>
    <w:rsid w:val="00F47BB1"/>
    <w:rsid w:val="00F602DF"/>
    <w:rsid w:val="00F754A1"/>
    <w:rsid w:val="00F81FD9"/>
    <w:rsid w:val="00F841AA"/>
    <w:rsid w:val="00F84A94"/>
    <w:rsid w:val="00F87E96"/>
    <w:rsid w:val="00FA234D"/>
    <w:rsid w:val="00FA23E8"/>
    <w:rsid w:val="00FB1744"/>
    <w:rsid w:val="00FC47A9"/>
    <w:rsid w:val="00FD3CC1"/>
    <w:rsid w:val="00FF1E02"/>
    <w:rsid w:val="00FF30B4"/>
    <w:rsid w:val="056A3AAF"/>
    <w:rsid w:val="0A2032A3"/>
    <w:rsid w:val="108F0808"/>
    <w:rsid w:val="10C055FF"/>
    <w:rsid w:val="118107EC"/>
    <w:rsid w:val="13DD1D6E"/>
    <w:rsid w:val="16BB723D"/>
    <w:rsid w:val="18015F3F"/>
    <w:rsid w:val="1AF408F7"/>
    <w:rsid w:val="1BE8440E"/>
    <w:rsid w:val="1D155CEE"/>
    <w:rsid w:val="20F57F95"/>
    <w:rsid w:val="240371BF"/>
    <w:rsid w:val="27842671"/>
    <w:rsid w:val="29FD04D3"/>
    <w:rsid w:val="2ABE7A3E"/>
    <w:rsid w:val="2B814071"/>
    <w:rsid w:val="319F7F4E"/>
    <w:rsid w:val="394C2E8B"/>
    <w:rsid w:val="3C0C0783"/>
    <w:rsid w:val="493C27E9"/>
    <w:rsid w:val="496F39ED"/>
    <w:rsid w:val="49FF41D3"/>
    <w:rsid w:val="4BE068DB"/>
    <w:rsid w:val="4BF6002B"/>
    <w:rsid w:val="4DA63F24"/>
    <w:rsid w:val="4ECE2238"/>
    <w:rsid w:val="577115DB"/>
    <w:rsid w:val="64CA39A1"/>
    <w:rsid w:val="672F6174"/>
    <w:rsid w:val="6C4A05C8"/>
    <w:rsid w:val="72734D90"/>
    <w:rsid w:val="77F249C2"/>
    <w:rsid w:val="7F3FFD4E"/>
    <w:rsid w:val="DD1778FE"/>
    <w:rsid w:val="FD654E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annotation text"/>
    <w:basedOn w:val="1"/>
    <w:link w:val="34"/>
    <w:semiHidden/>
    <w:unhideWhenUsed/>
    <w:qFormat/>
    <w:uiPriority w:val="99"/>
    <w:pPr>
      <w:jc w:val="left"/>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annotation subject"/>
    <w:basedOn w:val="6"/>
    <w:next w:val="6"/>
    <w:link w:val="35"/>
    <w:semiHidden/>
    <w:unhideWhenUsed/>
    <w:qFormat/>
    <w:uiPriority w:val="99"/>
    <w:rPr>
      <w:b/>
      <w:bCs/>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4">
    <w:name w:val="批注文字 Char"/>
    <w:basedOn w:val="15"/>
    <w:link w:val="6"/>
    <w:semiHidden/>
    <w:qFormat/>
    <w:uiPriority w:val="99"/>
    <w:rPr>
      <w:rFonts w:ascii="Times New Roman" w:hAnsi="Times New Roman" w:eastAsia="宋体" w:cs="Times New Roman"/>
      <w:kern w:val="2"/>
      <w:sz w:val="21"/>
      <w:szCs w:val="24"/>
    </w:rPr>
  </w:style>
  <w:style w:type="character" w:customStyle="1" w:styleId="35">
    <w:name w:val="批注主题 Char"/>
    <w:basedOn w:val="34"/>
    <w:link w:val="13"/>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收入数</c:v>
                </c:pt>
                <c:pt idx="1">
                  <c:v>支出数</c:v>
                </c:pt>
                <c:pt idx="2">
                  <c:v>收支总计</c:v>
                </c:pt>
              </c:strCache>
            </c:strRef>
          </c:cat>
          <c:val>
            <c:numRef>
              <c:f>Sheet1!$B$2:$B$5</c:f>
              <c:numCache>
                <c:formatCode>General</c:formatCode>
                <c:ptCount val="4"/>
                <c:pt idx="0">
                  <c:v>1364.82</c:v>
                </c:pt>
                <c:pt idx="1">
                  <c:v>5192.53</c:v>
                </c:pt>
                <c:pt idx="2">
                  <c:v>6557.35</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收入数</c:v>
                </c:pt>
                <c:pt idx="1">
                  <c:v>支出数</c:v>
                </c:pt>
                <c:pt idx="2">
                  <c:v>收支总计</c:v>
                </c:pt>
              </c:strCache>
            </c:strRef>
          </c:cat>
          <c:val>
            <c:numRef>
              <c:f>Sheet1!$C$2:$C$5</c:f>
              <c:numCache>
                <c:formatCode>General</c:formatCode>
                <c:ptCount val="4"/>
                <c:pt idx="0">
                  <c:v>9482.02</c:v>
                </c:pt>
                <c:pt idx="1">
                  <c:v>9482.02</c:v>
                </c:pt>
                <c:pt idx="2">
                  <c:v>18964.04</c:v>
                </c:pt>
              </c:numCache>
            </c:numRef>
          </c:val>
        </c:ser>
        <c:dLbls>
          <c:showLegendKey val="0"/>
          <c:showVal val="1"/>
          <c:showCatName val="0"/>
          <c:showSerName val="0"/>
          <c:showPercent val="0"/>
          <c:showBubbleSize val="0"/>
        </c:dLbls>
        <c:gapWidth val="219"/>
        <c:overlap val="-27"/>
        <c:axId val="148038384"/>
        <c:axId val="148044368"/>
      </c:barChart>
      <c:catAx>
        <c:axId val="14803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044368"/>
        <c:crosses val="autoZero"/>
        <c:auto val="1"/>
        <c:lblAlgn val="ctr"/>
        <c:lblOffset val="100"/>
        <c:noMultiLvlLbl val="0"/>
      </c:catAx>
      <c:valAx>
        <c:axId val="14804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038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1f17867-18f7-414a-a560-99e620052ff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a:p>
        </c:rich>
      </c:tx>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金额</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2"/>
                <c:pt idx="0">
                  <c:v>基本支出</c:v>
                </c:pt>
                <c:pt idx="1">
                  <c:v>项目支出</c:v>
                </c:pt>
              </c:strCache>
            </c:strRef>
          </c:cat>
          <c:val>
            <c:numRef>
              <c:f>Sheet1!$B$2:$B$5</c:f>
              <c:numCache>
                <c:formatCode>General</c:formatCode>
                <c:ptCount val="4"/>
                <c:pt idx="0">
                  <c:v>714.16</c:v>
                </c:pt>
                <c:pt idx="1">
                  <c:v>8767.87</c:v>
                </c:pt>
              </c:numCache>
            </c:numRef>
          </c:val>
        </c:ser>
        <c:ser>
          <c:idx val="1"/>
          <c:order val="1"/>
          <c:tx>
            <c:strRef>
              <c:f>Sheet1!$C$1</c:f>
              <c:strCache>
                <c:ptCount val="1"/>
                <c:pt idx="0">
                  <c:v>占比</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Lbls>
            <c:delete val="1"/>
          </c:dLbls>
          <c:cat>
            <c:strRef>
              <c:f>Sheet1!$A$2:$A$5</c:f>
              <c:strCache>
                <c:ptCount val="2"/>
                <c:pt idx="0">
                  <c:v>基本支出</c:v>
                </c:pt>
                <c:pt idx="1">
                  <c:v>项目支出</c:v>
                </c:pt>
              </c:strCache>
            </c:strRef>
          </c:cat>
          <c:val>
            <c:numRef>
              <c:f>Sheet1!$C$2:$C$5</c:f>
              <c:numCache>
                <c:formatCode>0.00%</c:formatCode>
                <c:ptCount val="4"/>
                <c:pt idx="0">
                  <c:v>0.0753</c:v>
                </c:pt>
                <c:pt idx="1">
                  <c:v>0.9247</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46be15e-bb6f-475e-bea6-51b4f74adf3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收入数</c:v>
                </c:pt>
                <c:pt idx="1">
                  <c:v>支出数</c:v>
                </c:pt>
                <c:pt idx="2">
                  <c:v>收入总计</c:v>
                </c:pt>
              </c:strCache>
            </c:strRef>
          </c:cat>
          <c:val>
            <c:numRef>
              <c:f>Sheet1!$B$2:$B$4</c:f>
              <c:numCache>
                <c:formatCode>General</c:formatCode>
                <c:ptCount val="3"/>
                <c:pt idx="0">
                  <c:v>1364.82</c:v>
                </c:pt>
                <c:pt idx="1">
                  <c:v>5192.53</c:v>
                </c:pt>
                <c:pt idx="2">
                  <c:v>6557.35</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收入数</c:v>
                </c:pt>
                <c:pt idx="1">
                  <c:v>支出数</c:v>
                </c:pt>
                <c:pt idx="2">
                  <c:v>收入总计</c:v>
                </c:pt>
              </c:strCache>
            </c:strRef>
          </c:cat>
          <c:val>
            <c:numRef>
              <c:f>Sheet1!$C$2:$C$4</c:f>
              <c:numCache>
                <c:formatCode>General</c:formatCode>
                <c:ptCount val="3"/>
                <c:pt idx="0">
                  <c:v>9482.02</c:v>
                </c:pt>
                <c:pt idx="1">
                  <c:v>9482.02</c:v>
                </c:pt>
                <c:pt idx="2">
                  <c:v>18964.04</c:v>
                </c:pt>
              </c:numCache>
            </c:numRef>
          </c:val>
        </c:ser>
        <c:dLbls>
          <c:showLegendKey val="0"/>
          <c:showVal val="1"/>
          <c:showCatName val="0"/>
          <c:showSerName val="0"/>
          <c:showPercent val="0"/>
          <c:showBubbleSize val="0"/>
        </c:dLbls>
        <c:gapWidth val="219"/>
        <c:overlap val="-27"/>
        <c:axId val="148038928"/>
        <c:axId val="148041648"/>
      </c:barChart>
      <c:catAx>
        <c:axId val="14803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041648"/>
        <c:crosses val="autoZero"/>
        <c:auto val="1"/>
        <c:lblAlgn val="ctr"/>
        <c:lblOffset val="100"/>
        <c:noMultiLvlLbl val="0"/>
      </c:catAx>
      <c:valAx>
        <c:axId val="14804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038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dd57acc-9cf3-4ec5-889d-a5de2ed800f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Sheet1!$B$2</c:f>
              <c:numCache>
                <c:formatCode>General</c:formatCode>
                <c:ptCount val="1"/>
                <c:pt idx="0">
                  <c:v>5192.53</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Sheet1!$C$2</c:f>
              <c:numCache>
                <c:formatCode>General</c:formatCode>
                <c:ptCount val="1"/>
                <c:pt idx="0">
                  <c:v>9482.02</c:v>
                </c:pt>
              </c:numCache>
            </c:numRef>
          </c:val>
        </c:ser>
        <c:dLbls>
          <c:showLegendKey val="0"/>
          <c:showVal val="1"/>
          <c:showCatName val="0"/>
          <c:showSerName val="0"/>
          <c:showPercent val="0"/>
          <c:showBubbleSize val="0"/>
        </c:dLbls>
        <c:gapWidth val="219"/>
        <c:overlap val="-27"/>
        <c:axId val="148040016"/>
        <c:axId val="148046544"/>
      </c:barChart>
      <c:catAx>
        <c:axId val="14804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046544"/>
        <c:crosses val="autoZero"/>
        <c:auto val="1"/>
        <c:lblAlgn val="ctr"/>
        <c:lblOffset val="100"/>
        <c:noMultiLvlLbl val="0"/>
      </c:catAx>
      <c:valAx>
        <c:axId val="148046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040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5efe772-3707-4de7-acc6-0115ecda32a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r>
              <a:rPr lang="zh-CN"/>
              <a:t>一般公共预算财政拨款支出决算结构</a:t>
            </a:r>
            <a:endParaRPr lang="zh-CN"/>
          </a:p>
        </c:rich>
      </c:tx>
      <c:layout/>
      <c:overlay val="0"/>
      <c:spPr>
        <a:noFill/>
        <a:ln>
          <a:noFill/>
        </a:ln>
        <a:effectLst/>
      </c:spPr>
    </c:title>
    <c:autoTitleDeleted val="0"/>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决算数</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dPt>
          <c:dLbls>
            <c:dLbl>
              <c:idx val="0"/>
              <c:delete val="1"/>
            </c:dLbl>
            <c:dLbl>
              <c:idx val="1"/>
              <c:layout>
                <c:manualLayout>
                  <c:x val="-0.130892539587003"/>
                  <c:y val="0.23730582356593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11982409185135"/>
                  <c:y val="0.052129983000920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118830660533952"/>
                  <c:y val="0.1331257341130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教育支出</c:v>
                </c:pt>
                <c:pt idx="1">
                  <c:v>社会保障和就业支出</c:v>
                </c:pt>
                <c:pt idx="2">
                  <c:v>交通运输支出</c:v>
                </c:pt>
                <c:pt idx="3">
                  <c:v>卫生健康支出</c:v>
                </c:pt>
                <c:pt idx="4">
                  <c:v>住房保障支出</c:v>
                </c:pt>
              </c:strCache>
            </c:strRef>
          </c:cat>
          <c:val>
            <c:numRef>
              <c:f>Sheet1!$B$2:$B$6</c:f>
              <c:numCache>
                <c:formatCode>General</c:formatCode>
                <c:ptCount val="5"/>
                <c:pt idx="0">
                  <c:v>0.96</c:v>
                </c:pt>
                <c:pt idx="1">
                  <c:v>85.68</c:v>
                </c:pt>
                <c:pt idx="2">
                  <c:v>9308.4</c:v>
                </c:pt>
                <c:pt idx="3">
                  <c:v>44.32</c:v>
                </c:pt>
                <c:pt idx="4">
                  <c:v>42.66</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3a182cb8-5795-4156-9a19-21b0fb4283d2}"/>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11511</Words>
  <Characters>12378</Characters>
  <Lines>90</Lines>
  <Paragraphs>25</Paragraphs>
  <TotalTime>38</TotalTime>
  <ScaleCrop>false</ScaleCrop>
  <LinksUpToDate>false</LinksUpToDate>
  <CharactersWithSpaces>12424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zh</cp:lastModifiedBy>
  <cp:lastPrinted>2024-07-01T02:17:00Z</cp:lastPrinted>
  <dcterms:modified xsi:type="dcterms:W3CDTF">2024-11-28T03:00:47Z</dcterms:modified>
  <dc:title>四川省***</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81560DC89E9C4BD8961862CFAE0F005D_13</vt:lpwstr>
  </property>
</Properties>
</file>