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B28323A">
      <w:pPr>
        <w:widowControl/>
        <w:overflowPunct w:val="0"/>
        <w:spacing w:line="600" w:lineRule="exact"/>
        <w:outlineLvl w:val="0"/>
        <w:rPr>
          <w:rFonts w:ascii="Times New Roman" w:hAnsi="Times New Roman" w:eastAsia="黑体" w:cs="Times New Roman"/>
          <w:sz w:val="32"/>
          <w:szCs w:val="32"/>
        </w:rPr>
      </w:pPr>
      <w:r>
        <w:rPr>
          <w:rFonts w:ascii="Times New Roman" w:hAnsi="Times New Roman" w:eastAsia="黑体" w:cs="Times New Roman"/>
          <w:sz w:val="32"/>
          <w:szCs w:val="32"/>
        </w:rPr>
        <w:t>附</w:t>
      </w:r>
      <w:r>
        <w:rPr>
          <w:rFonts w:hint="eastAsia" w:ascii="Times New Roman" w:hAnsi="Times New Roman" w:eastAsia="黑体" w:cs="Times New Roman"/>
          <w:sz w:val="32"/>
          <w:szCs w:val="32"/>
        </w:rPr>
        <w:t>件6</w:t>
      </w:r>
      <w:bookmarkStart w:id="0" w:name="_GoBack"/>
      <w:bookmarkEnd w:id="0"/>
    </w:p>
    <w:p w14:paraId="67ABFA27">
      <w:pPr>
        <w:overflowPunct w:val="0"/>
        <w:spacing w:line="560" w:lineRule="exact"/>
        <w:jc w:val="center"/>
        <w:rPr>
          <w:rFonts w:ascii="Times New Roman" w:hAnsi="Times New Roman" w:eastAsia="宋体" w:cs="Times New Roman"/>
          <w:sz w:val="44"/>
          <w:szCs w:val="44"/>
        </w:rPr>
      </w:pPr>
    </w:p>
    <w:p w14:paraId="77C40C9C"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  <w:lang w:eastAsia="zh-CN"/>
        </w:rPr>
        <w:t>“川交好运”智运平台</w:t>
      </w:r>
      <w:r>
        <w:rPr>
          <w:rFonts w:hint="eastAsia" w:ascii="Times New Roman" w:hAnsi="Times New Roman" w:eastAsia="方正小标宋_GBK" w:cs="Times New Roman"/>
          <w:sz w:val="44"/>
          <w:szCs w:val="44"/>
        </w:rPr>
        <w:t>建设运营</w:t>
      </w:r>
    </w:p>
    <w:p w14:paraId="17275A95">
      <w:pPr>
        <w:overflowPunct w:val="0"/>
        <w:spacing w:line="580" w:lineRule="exact"/>
        <w:jc w:val="center"/>
        <w:rPr>
          <w:rFonts w:ascii="Times New Roman" w:hAnsi="Times New Roman" w:eastAsia="方正小标宋_GBK" w:cs="Times New Roman"/>
          <w:sz w:val="44"/>
          <w:szCs w:val="44"/>
        </w:rPr>
      </w:pPr>
      <w:r>
        <w:rPr>
          <w:rFonts w:hint="eastAsia" w:ascii="Times New Roman" w:hAnsi="Times New Roman" w:eastAsia="方正小标宋_GBK" w:cs="Times New Roman"/>
          <w:sz w:val="44"/>
          <w:szCs w:val="44"/>
        </w:rPr>
        <w:t>总体设计方案评选规则</w:t>
      </w:r>
    </w:p>
    <w:p w14:paraId="58625CCB">
      <w:pPr>
        <w:overflowPunct w:val="0"/>
        <w:spacing w:line="560" w:lineRule="exact"/>
        <w:jc w:val="center"/>
        <w:rPr>
          <w:rFonts w:ascii="Times New Roman" w:hAnsi="Times New Roman" w:eastAsia="微软雅黑" w:cs="Times New Roman"/>
          <w:sz w:val="44"/>
          <w:szCs w:val="44"/>
        </w:rPr>
      </w:pPr>
    </w:p>
    <w:tbl>
      <w:tblPr>
        <w:tblStyle w:val="4"/>
        <w:tblW w:w="8939" w:type="dxa"/>
        <w:tblInd w:w="9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7"/>
        <w:gridCol w:w="1478"/>
        <w:gridCol w:w="837"/>
        <w:gridCol w:w="5008"/>
        <w:gridCol w:w="779"/>
      </w:tblGrid>
      <w:tr w14:paraId="7707D18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  <w:tblHeader/>
        </w:trPr>
        <w:tc>
          <w:tcPr>
            <w:tcW w:w="837" w:type="dxa"/>
            <w:noWrap w:val="0"/>
            <w:vAlign w:val="center"/>
          </w:tcPr>
          <w:p w14:paraId="367531CA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序号</w:t>
            </w:r>
          </w:p>
        </w:tc>
        <w:tc>
          <w:tcPr>
            <w:tcW w:w="1478" w:type="dxa"/>
            <w:noWrap w:val="0"/>
            <w:vAlign w:val="center"/>
          </w:tcPr>
          <w:p w14:paraId="15E99922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评选因素</w:t>
            </w:r>
          </w:p>
        </w:tc>
        <w:tc>
          <w:tcPr>
            <w:tcW w:w="837" w:type="dxa"/>
            <w:noWrap w:val="0"/>
            <w:vAlign w:val="center"/>
          </w:tcPr>
          <w:p w14:paraId="6FB0E5DD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分值</w:t>
            </w:r>
          </w:p>
        </w:tc>
        <w:tc>
          <w:tcPr>
            <w:tcW w:w="5008" w:type="dxa"/>
            <w:noWrap w:val="0"/>
            <w:vAlign w:val="center"/>
          </w:tcPr>
          <w:p w14:paraId="194041FA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评选标准</w:t>
            </w:r>
          </w:p>
        </w:tc>
        <w:tc>
          <w:tcPr>
            <w:tcW w:w="779" w:type="dxa"/>
            <w:noWrap w:val="0"/>
            <w:vAlign w:val="center"/>
          </w:tcPr>
          <w:p w14:paraId="02C973D6">
            <w:pPr>
              <w:widowControl/>
              <w:jc w:val="center"/>
              <w:textAlignment w:val="center"/>
              <w:rPr>
                <w:rFonts w:ascii="黑体" w:hAnsi="黑体" w:eastAsia="黑体" w:cs="黑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8"/>
                <w:szCs w:val="28"/>
                <w:lang w:bidi="ar"/>
              </w:rPr>
              <w:t>得分</w:t>
            </w:r>
          </w:p>
        </w:tc>
      </w:tr>
      <w:tr w14:paraId="290772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837" w:type="dxa"/>
            <w:vMerge w:val="restart"/>
            <w:noWrap w:val="0"/>
            <w:vAlign w:val="center"/>
          </w:tcPr>
          <w:p w14:paraId="383ECEE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240D144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方案编制完整性、规范性</w:t>
            </w:r>
          </w:p>
        </w:tc>
        <w:tc>
          <w:tcPr>
            <w:tcW w:w="837" w:type="dxa"/>
            <w:noWrap w:val="0"/>
            <w:vAlign w:val="center"/>
          </w:tcPr>
          <w:p w14:paraId="0FC55210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</w:p>
        </w:tc>
        <w:tc>
          <w:tcPr>
            <w:tcW w:w="5008" w:type="dxa"/>
            <w:noWrap w:val="0"/>
            <w:vAlign w:val="top"/>
          </w:tcPr>
          <w:p w14:paraId="203F88C8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1.完整性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: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方案内容与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方案结构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相比，每有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项内容缺失扣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ascii="Times New Roman" w:hAnsi="Times New Roman" w:eastAsia="仿宋_GB2312" w:cs="Times New Roman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每有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项内容存在缺陷扣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分，本项扣完为止。“存在缺陷”是指：存在凭空编造、内容前后不一致、前后内容错误、涉及的规范及标准错误、地点区域错误、内容缺失、不符合方案要求等。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本项满分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79" w:type="dxa"/>
            <w:vMerge w:val="restart"/>
            <w:noWrap w:val="0"/>
            <w:vAlign w:val="top"/>
          </w:tcPr>
          <w:p w14:paraId="2CED7A6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68F9B6D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37" w:type="dxa"/>
            <w:vMerge w:val="continue"/>
            <w:noWrap w:val="0"/>
            <w:vAlign w:val="center"/>
          </w:tcPr>
          <w:p w14:paraId="79C5F82A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72CE9D18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C56F702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5008" w:type="dxa"/>
            <w:noWrap w:val="0"/>
            <w:vAlign w:val="top"/>
          </w:tcPr>
          <w:p w14:paraId="4D1C68DF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2.规范性：方案制作规范，没有细微偏差情形的得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分；有一项细微偏差扣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0.5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分，直至该项分值扣完为止。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本项满分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）</w:t>
            </w:r>
          </w:p>
        </w:tc>
        <w:tc>
          <w:tcPr>
            <w:tcW w:w="779" w:type="dxa"/>
            <w:vMerge w:val="continue"/>
            <w:noWrap w:val="0"/>
            <w:vAlign w:val="top"/>
          </w:tcPr>
          <w:p w14:paraId="2CB8E4EA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E773A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4" w:hRule="atLeast"/>
        </w:trPr>
        <w:tc>
          <w:tcPr>
            <w:tcW w:w="837" w:type="dxa"/>
            <w:noWrap w:val="0"/>
            <w:vAlign w:val="center"/>
          </w:tcPr>
          <w:p w14:paraId="7DA50BA6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</w:p>
        </w:tc>
        <w:tc>
          <w:tcPr>
            <w:tcW w:w="1478" w:type="dxa"/>
            <w:noWrap w:val="0"/>
            <w:vAlign w:val="center"/>
          </w:tcPr>
          <w:p w14:paraId="251BA9C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需求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的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分析</w:t>
            </w:r>
          </w:p>
        </w:tc>
        <w:tc>
          <w:tcPr>
            <w:tcW w:w="837" w:type="dxa"/>
            <w:noWrap w:val="0"/>
            <w:vAlign w:val="center"/>
          </w:tcPr>
          <w:p w14:paraId="0EAE98F4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08" w:type="dxa"/>
            <w:noWrap w:val="0"/>
            <w:vAlign w:val="top"/>
          </w:tcPr>
          <w:p w14:paraId="2EC169E4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能够充分考虑国家、省、市“三网”融合发展要求，准确描述建设需求，并提出建设的重点、关键点。对需求分析情况进行横向比较，优：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8-10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分；良：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6-8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（不含）分；一般：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3-6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（不含）分；差：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0-3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（不含）分。</w:t>
            </w:r>
          </w:p>
        </w:tc>
        <w:tc>
          <w:tcPr>
            <w:tcW w:w="779" w:type="dxa"/>
            <w:noWrap w:val="0"/>
            <w:vAlign w:val="top"/>
          </w:tcPr>
          <w:p w14:paraId="414E7FC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FD7FF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2561" w:hRule="atLeast"/>
        </w:trPr>
        <w:tc>
          <w:tcPr>
            <w:tcW w:w="837" w:type="dxa"/>
            <w:noWrap w:val="0"/>
            <w:vAlign w:val="center"/>
          </w:tcPr>
          <w:p w14:paraId="116F678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</w:p>
        </w:tc>
        <w:tc>
          <w:tcPr>
            <w:tcW w:w="1478" w:type="dxa"/>
            <w:noWrap w:val="0"/>
            <w:vAlign w:val="center"/>
          </w:tcPr>
          <w:p w14:paraId="26F14B9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设计原则和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目标</w:t>
            </w:r>
          </w:p>
        </w:tc>
        <w:tc>
          <w:tcPr>
            <w:tcW w:w="837" w:type="dxa"/>
            <w:noWrap w:val="0"/>
            <w:vAlign w:val="center"/>
          </w:tcPr>
          <w:p w14:paraId="6913568F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08" w:type="dxa"/>
            <w:noWrap w:val="0"/>
            <w:vAlign w:val="top"/>
          </w:tcPr>
          <w:p w14:paraId="4B128A59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设计原则需紧密围绕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“三网”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融合工作定位的核心业务需求，并符合交通物流行业政策及法规要求，按照统筹规划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、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集约共享要求，以解决实际业务痛点、提升运营效率和服务体验为核心导向，提出切实可行的设计原则；编制目标科学合理，符合行业和技术发展趋势。优：8-10 分；良：6-8（不含）分；一般：3-6（不含）分；差：0-3（不含）分。</w:t>
            </w:r>
          </w:p>
        </w:tc>
        <w:tc>
          <w:tcPr>
            <w:tcW w:w="779" w:type="dxa"/>
            <w:noWrap w:val="0"/>
            <w:vAlign w:val="top"/>
          </w:tcPr>
          <w:p w14:paraId="0D70286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5899CA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97" w:hRule="atLeast"/>
        </w:trPr>
        <w:tc>
          <w:tcPr>
            <w:tcW w:w="837" w:type="dxa"/>
            <w:vMerge w:val="restart"/>
            <w:noWrap w:val="0"/>
            <w:vAlign w:val="center"/>
          </w:tcPr>
          <w:p w14:paraId="6AF7663D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4</w:t>
            </w:r>
          </w:p>
        </w:tc>
        <w:tc>
          <w:tcPr>
            <w:tcW w:w="1478" w:type="dxa"/>
            <w:vMerge w:val="restart"/>
            <w:noWrap w:val="0"/>
            <w:vAlign w:val="center"/>
          </w:tcPr>
          <w:p w14:paraId="1A6295A1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</w:t>
            </w:r>
          </w:p>
          <w:p w14:paraId="11217753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内容</w:t>
            </w:r>
          </w:p>
        </w:tc>
        <w:tc>
          <w:tcPr>
            <w:tcW w:w="837" w:type="dxa"/>
            <w:noWrap w:val="0"/>
            <w:vAlign w:val="center"/>
          </w:tcPr>
          <w:p w14:paraId="7F07B40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5</w:t>
            </w:r>
          </w:p>
        </w:tc>
        <w:tc>
          <w:tcPr>
            <w:tcW w:w="5008" w:type="dxa"/>
            <w:noWrap w:val="0"/>
            <w:vAlign w:val="top"/>
          </w:tcPr>
          <w:p w14:paraId="38BC4967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1、方案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针对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性。设计方案应广泛开展政府和市场需求调研的基础上，能够充分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结合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“川交好运”智运平台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建设需求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分析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，针对性匹配解决方案，设计思路科学，设计方案合理、可操作性强。对设计方案进行横向比较，优：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-2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分；良：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20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（不含）分；一般：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-1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（不含）分；差：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0-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（不含）分。</w:t>
            </w:r>
          </w:p>
        </w:tc>
        <w:tc>
          <w:tcPr>
            <w:tcW w:w="779" w:type="dxa"/>
            <w:vMerge w:val="restart"/>
            <w:noWrap w:val="0"/>
            <w:vAlign w:val="top"/>
          </w:tcPr>
          <w:p w14:paraId="0CD1DE86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3EEDEB9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0" w:hRule="atLeast"/>
        </w:trPr>
        <w:tc>
          <w:tcPr>
            <w:tcW w:w="837" w:type="dxa"/>
            <w:vMerge w:val="continue"/>
            <w:noWrap w:val="0"/>
            <w:vAlign w:val="center"/>
          </w:tcPr>
          <w:p w14:paraId="7E30DB56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2E6817A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6D5834F9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20</w:t>
            </w:r>
          </w:p>
        </w:tc>
        <w:tc>
          <w:tcPr>
            <w:tcW w:w="5008" w:type="dxa"/>
            <w:noWrap w:val="0"/>
            <w:vAlign w:val="top"/>
          </w:tcPr>
          <w:p w14:paraId="3662A8AE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2、方案系统性。系统总体架构清晰，设计内容应立足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“十五五”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国家重点战略，聚力打通通道网、物流网、数联网通达瓶颈，能够充分考虑政府治理及行业服务诉求，以多元化服务视角开展方案设计，确保平台能够支撑长期发展、适应未来变革。方案设计方法先进，具有一定前瞻性。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系统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架构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、数据架构等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设计情况进行横向比较，优：16-20分；良：10-16（不含）分；一般：6-10（不含）分；差：0-6（不含）分。</w:t>
            </w:r>
          </w:p>
        </w:tc>
        <w:tc>
          <w:tcPr>
            <w:tcW w:w="779" w:type="dxa"/>
            <w:vMerge w:val="continue"/>
            <w:noWrap w:val="0"/>
            <w:vAlign w:val="top"/>
          </w:tcPr>
          <w:p w14:paraId="0406FC5B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A6BE53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6" w:hRule="atLeast"/>
        </w:trPr>
        <w:tc>
          <w:tcPr>
            <w:tcW w:w="837" w:type="dxa"/>
            <w:vMerge w:val="continue"/>
            <w:noWrap w:val="0"/>
            <w:vAlign w:val="center"/>
          </w:tcPr>
          <w:p w14:paraId="0A8E2A0F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1478" w:type="dxa"/>
            <w:vMerge w:val="continue"/>
            <w:noWrap w:val="0"/>
            <w:vAlign w:val="center"/>
          </w:tcPr>
          <w:p w14:paraId="5B06E095">
            <w:pPr>
              <w:jc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  <w:tc>
          <w:tcPr>
            <w:tcW w:w="837" w:type="dxa"/>
            <w:noWrap w:val="0"/>
            <w:vAlign w:val="center"/>
          </w:tcPr>
          <w:p w14:paraId="37765F1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15</w:t>
            </w:r>
          </w:p>
        </w:tc>
        <w:tc>
          <w:tcPr>
            <w:tcW w:w="5008" w:type="dxa"/>
            <w:noWrap w:val="0"/>
            <w:vAlign w:val="top"/>
          </w:tcPr>
          <w:p w14:paraId="2D9CE3BB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3、方案创新性。设计方案能够结合国内先进地区建设模式以及四川省实际情况，提出创新性的思路、设想和解决方案。对设计方案进行横向比较，优：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12-15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分；良：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8-12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（不含）分；一般：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4-8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（不含）分；差：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0-4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（不含）分。</w:t>
            </w:r>
          </w:p>
        </w:tc>
        <w:tc>
          <w:tcPr>
            <w:tcW w:w="779" w:type="dxa"/>
            <w:vMerge w:val="continue"/>
            <w:noWrap w:val="0"/>
            <w:vAlign w:val="top"/>
          </w:tcPr>
          <w:p w14:paraId="7DA71A1D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  <w:tr w14:paraId="11C0127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86" w:hRule="atLeast"/>
        </w:trPr>
        <w:tc>
          <w:tcPr>
            <w:tcW w:w="837" w:type="dxa"/>
            <w:noWrap w:val="0"/>
            <w:vAlign w:val="center"/>
          </w:tcPr>
          <w:p w14:paraId="3BF6964E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</w:rPr>
              <w:t>5</w:t>
            </w:r>
          </w:p>
        </w:tc>
        <w:tc>
          <w:tcPr>
            <w:tcW w:w="1478" w:type="dxa"/>
            <w:noWrap w:val="0"/>
            <w:vAlign w:val="center"/>
          </w:tcPr>
          <w:p w14:paraId="6509341A">
            <w:pPr>
              <w:widowControl/>
              <w:jc w:val="center"/>
              <w:textAlignment w:val="center"/>
              <w:rPr>
                <w:rFonts w:hint="eastAsia" w:ascii="Times New Roman" w:hAnsi="Times New Roman" w:eastAsia="仿宋_GB2312" w:cs="Times New Roman"/>
                <w:color w:val="000000"/>
                <w:sz w:val="24"/>
                <w:lang w:eastAsia="zh-CN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投资收益测算</w:t>
            </w:r>
          </w:p>
        </w:tc>
        <w:tc>
          <w:tcPr>
            <w:tcW w:w="837" w:type="dxa"/>
            <w:noWrap w:val="0"/>
            <w:vAlign w:val="center"/>
          </w:tcPr>
          <w:p w14:paraId="749AF76B">
            <w:pPr>
              <w:widowControl/>
              <w:jc w:val="center"/>
              <w:textAlignment w:val="center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10</w:t>
            </w:r>
          </w:p>
        </w:tc>
        <w:tc>
          <w:tcPr>
            <w:tcW w:w="5008" w:type="dxa"/>
            <w:noWrap w:val="0"/>
            <w:vAlign w:val="top"/>
          </w:tcPr>
          <w:p w14:paraId="1435010A">
            <w:pPr>
              <w:widowControl/>
              <w:textAlignment w:val="top"/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测算依据符合国家、省、市相关要求，资金预算与建设内容匹配，无缺项漏项。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收入及运营成本清晰且参数取值合理，投资收益测算可靠。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对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eastAsia="zh-CN" w:bidi="ar"/>
              </w:rPr>
              <w:t>投资收益测算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情况进行横向比较，优：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9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10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分；良：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6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9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（不含）分；一般：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3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6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（不含）分；差：</w:t>
            </w:r>
            <w:r>
              <w:rPr>
                <w:rFonts w:hint="eastAsia"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0</w:t>
            </w:r>
            <w:r>
              <w:rPr>
                <w:rFonts w:hint="default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-</w:t>
            </w:r>
            <w:r>
              <w:rPr>
                <w:rFonts w:hint="eastAsia" w:ascii="Times New Roman" w:hAnsi="Times New Roman" w:eastAsia="仿宋_GB2312" w:cs="Times New Roman"/>
                <w:color w:val="000000"/>
                <w:sz w:val="24"/>
                <w:u w:val="none"/>
                <w:lang w:bidi="ar"/>
              </w:rPr>
              <w:t>3</w:t>
            </w:r>
            <w:r>
              <w:rPr>
                <w:rFonts w:ascii="Times New Roman" w:hAnsi="Times New Roman" w:eastAsia="仿宋_GB2312" w:cs="Times New Roman"/>
                <w:color w:val="000000"/>
                <w:kern w:val="0"/>
                <w:sz w:val="24"/>
                <w:lang w:bidi="ar"/>
              </w:rPr>
              <w:t>（不含）分。</w:t>
            </w:r>
          </w:p>
        </w:tc>
        <w:tc>
          <w:tcPr>
            <w:tcW w:w="779" w:type="dxa"/>
            <w:noWrap/>
            <w:vAlign w:val="center"/>
          </w:tcPr>
          <w:p w14:paraId="6DDBA29F">
            <w:pPr>
              <w:rPr>
                <w:rFonts w:ascii="Times New Roman" w:hAnsi="Times New Roman" w:eastAsia="仿宋_GB2312" w:cs="Times New Roman"/>
                <w:color w:val="000000"/>
                <w:sz w:val="24"/>
              </w:rPr>
            </w:pPr>
          </w:p>
        </w:tc>
      </w:tr>
    </w:tbl>
    <w:p w14:paraId="22F24A41">
      <w:pPr>
        <w:widowControl/>
        <w:overflowPunct w:val="0"/>
        <w:rPr>
          <w:rFonts w:ascii="Times New Roman" w:hAnsi="Times New Roman" w:eastAsia="仿宋_GB2312" w:cs="Times New Roman"/>
          <w:sz w:val="32"/>
          <w:szCs w:val="32"/>
        </w:rPr>
      </w:pPr>
    </w:p>
    <w:p w14:paraId="608897AA">
      <w:pPr>
        <w:wordWrap w:val="0"/>
        <w:overflowPunct w:val="0"/>
        <w:spacing w:line="576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32B70343">
      <w:pPr>
        <w:wordWrap w:val="0"/>
        <w:overflowPunct w:val="0"/>
        <w:spacing w:line="576" w:lineRule="exact"/>
        <w:jc w:val="left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</w:p>
    <w:p w14:paraId="21AEB3CF">
      <w:pPr>
        <w:widowControl/>
        <w:wordWrap w:val="0"/>
        <w:autoSpaceDE w:val="0"/>
        <w:autoSpaceDN w:val="0"/>
        <w:adjustRightInd w:val="0"/>
        <w:jc w:val="both"/>
        <w:rPr>
          <w:rFonts w:hint="default" w:ascii="微软雅黑" w:hAnsi="微软雅黑" w:eastAsia="仿宋_GB2312" w:cs="Times"/>
          <w:kern w:val="0"/>
          <w:sz w:val="21"/>
          <w:szCs w:val="21"/>
          <w:lang w:val="en-US" w:eastAsia="zh-CN"/>
        </w:rPr>
      </w:pPr>
    </w:p>
    <w:p w14:paraId="393D8F5D"/>
    <w:sectPr>
      <w:footerReference r:id="rId3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_GBK">
    <w:altName w:val="微软雅黑"/>
    <w:panose1 w:val="02000000000000000000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Times">
    <w:altName w:val="Times New Roman"/>
    <w:panose1 w:val="00000500000000020000"/>
    <w:charset w:val="00"/>
    <w:family w:val="roman"/>
    <w:pitch w:val="default"/>
    <w:sig w:usb0="00000000" w:usb1="00000000" w:usb2="00000000" w:usb3="00000000" w:csb0="2000019F" w:csb1="4F01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0B6C00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12700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6A46A0DA">
                          <w:pPr>
                            <w:pStyle w:val="2"/>
                            <w:rPr>
                              <w:rFonts w:ascii="宋体" w:hAnsi="宋体" w:eastAsia="宋体"/>
                              <w:sz w:val="28"/>
                            </w:rPr>
                          </w:pP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begin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separate"/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2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fldChar w:fldCharType="end"/>
                          </w:r>
                          <w:r>
                            <w:rPr>
                              <w:rFonts w:ascii="宋体" w:hAnsi="宋体" w:eastAsia="宋体"/>
                              <w:sz w:val="24"/>
                            </w:rPr>
                            <w:t>　</w:t>
                          </w:r>
                          <w:r>
                            <w:rPr>
                              <w:rFonts w:ascii="宋体" w:hAnsi="宋体" w:eastAsia="宋体"/>
                              <w:sz w:val="28"/>
                            </w:rPr>
                            <w:t>—</w:t>
                          </w:r>
                        </w:p>
                      </w:txbxContent>
                    </wps:txbx>
                    <wps:bodyPr wrap="none" lIns="203200" tIns="0" rIns="20320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MS+OZdEAAAAG&#10;AQAADwAAAGRycy9kb3ducmV2LnhtbE2PMU/EMAyFdyT+Q2QkNi5ph6OUpjcgwcQAB7rZTUxbaJyq&#10;yd2Vf4+ZYPKznv38udmtYVInWtIY2UKxMaCIXfQj9xbe3x5vKlApI3ucIpOFb0qway8vGqx9PPMr&#10;nfa5VxLCqUYLQ85zrXVyAwVMmzgTi/cRl4BZ2qXXfsGzhIdJl8ZsdcCR5cKAMz0M5L72xyAYL+5Q&#10;pad1e1uE3qfYuWL8fLb2+qow96AyrflvGH7xZQdaYerikX1SkwV5JFsopYhZVpWITsSdMaDbRv/H&#10;b38AUEsDBBQAAAAIAIdO4kAe8EkmzwEAAKMDAAAOAAAAZHJzL2Uyb0RvYy54bWytU0tu2zAQ3RfI&#10;HQjuY8ouUBiC5aCFkSJA0BZIewCaIi0C/IFDW/IF2ht01U33PZfP0SElO59usuiGImeGb957HK1u&#10;BmvIQUbQ3jV0PqsokU74VrtdQ799vb1eUgKJu5Yb72RDjxLozfrqzaoPtVz4zptWRoIgDuo+NLRL&#10;KdSMgeik5TDzQTpMKh8tT3iMO9ZG3iO6NWxRVe9Y72MbohcSAKObMUknxPgaQK+UFnLjxd5Kl0bU&#10;KA1PKAk6HYCuC1ulpEiflQKZiGkoKk1lxSa43+aVrVe83kUeOi0mCvw1FF5oslw7bHqB2vDEyT7q&#10;f6CsFtGDV2kmvGWjkOIIqphXL7x56HiQRQtaDeFiOvw/WPHp8CUS3eIkUOK4xQc//fxx+vXn9Ps7&#10;mWd7+gA1Vj0ErEvDBz/k0ikOGMyqBxVt/qIegnk093gxVw6JiHxpuVguK0wJzJ0PiMMer4cI6aP0&#10;luRNQyO+XjGVH+4hjaXnktzN+VttDMZ5bdyzAGLmCMvcR455l4btMBHf+vaIenp8+IY6nHNKzJ1D&#10;XxfVWxxSHJRywk18Ft6ew/sQ9a4r45Q7Q3i/T0insMy9xgYTBXy7onOaszwcT8+l6vHfWv8F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MS+OZdEAAAAGAQAADwAAAAAAAAABACAAAAAiAAAAZHJzL2Rv&#10;d25yZXYueG1sUEsBAhQAFAAAAAgAh07iQB7wSSbPAQAAowMAAA4AAAAAAAAAAQAgAAAAIAEAAGRy&#10;cy9lMm9Eb2MueG1sUEsFBgAAAAAGAAYAWQEAAGEFAAAAAA==&#10;">
              <v:fill on="f" focussize="0,0"/>
              <v:stroke on="f"/>
              <v:imagedata o:title=""/>
              <o:lock v:ext="edit" aspectratio="f"/>
              <v:textbox inset="16pt,0mm,16pt,0mm" style="mso-fit-shape-to-text:t;">
                <w:txbxContent>
                  <w:p w14:paraId="6A46A0DA">
                    <w:pPr>
                      <w:pStyle w:val="2"/>
                      <w:rPr>
                        <w:rFonts w:ascii="宋体" w:hAnsi="宋体" w:eastAsia="宋体"/>
                        <w:sz w:val="28"/>
                      </w:rPr>
                    </w:pP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begin"/>
                    </w:r>
                    <w:r>
                      <w:rPr>
                        <w:rFonts w:ascii="宋体" w:hAnsi="宋体" w:eastAsia="宋体"/>
                        <w:sz w:val="28"/>
                      </w:rPr>
                      <w:instrText xml:space="preserve"> PAGE  \* MERGEFORMAT </w:instrTex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separate"/>
                    </w:r>
                    <w:r>
                      <w:rPr>
                        <w:rFonts w:ascii="宋体" w:hAnsi="宋体" w:eastAsia="宋体"/>
                        <w:sz w:val="28"/>
                      </w:rPr>
                      <w:t>2</w:t>
                    </w:r>
                    <w:r>
                      <w:rPr>
                        <w:rFonts w:ascii="宋体" w:hAnsi="宋体" w:eastAsia="宋体"/>
                        <w:sz w:val="28"/>
                      </w:rPr>
                      <w:fldChar w:fldCharType="end"/>
                    </w:r>
                    <w:r>
                      <w:rPr>
                        <w:rFonts w:ascii="宋体" w:hAnsi="宋体" w:eastAsia="宋体"/>
                        <w:sz w:val="24"/>
                      </w:rPr>
                      <w:t>　</w:t>
                    </w:r>
                    <w:r>
                      <w:rPr>
                        <w:rFonts w:ascii="宋体" w:hAnsi="宋体" w:eastAsia="宋体"/>
                        <w:sz w:val="28"/>
                      </w:rPr>
                      <w:t>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586056"/>
    <w:rsid w:val="13586056"/>
    <w:rsid w:val="13B10CDE"/>
    <w:rsid w:val="1ECF38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3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table" w:customStyle="1" w:styleId="6">
    <w:name w:val="网格型2"/>
    <w:qFormat/>
    <w:uiPriority w:val="0"/>
    <w:pPr>
      <w:widowControl w:val="0"/>
      <w:jc w:val="both"/>
    </w:pPr>
    <w:rPr>
      <w:rFonts w:ascii="Calibri" w:hAnsi="Calibri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Office_12.1.0.23542_F1E327BC-269C-435d-A152-05C5408002CA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2025-11-21T09:03:00Z</dcterms:created>
  <dc:creator>之一</dc:creator>
  <cp:lastModifiedBy>之一</cp:lastModifiedBy>
  <dcterms:modified xsi:type="dcterms:W3CDTF">2025-11-21T09:04:21Z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2052-12.1.0.23542</vt:lpwstr>
  </property>
  <property fmtid="{D5CDD505-2E9C-101B-9397-08002B2CF9AE}" pid="3" name="ICV">
    <vt:lpwstr>318E360C7E5E4CD5B4E873C866C7978F_13</vt:lpwstr>
  </property>
  <property fmtid="{D5CDD505-2E9C-101B-9397-08002B2CF9AE}" pid="4" name="KSOTemplateDocerSaveRecord">
    <vt:lpwstr>eyJoZGlkIjoiN2YzY2IyMzQ0MTA3YjcwZWQyNjFkN2M2MmY0MTI3MGEiLCJ1c2VySWQiOiI4MjM2MTM3NjkifQ==</vt:lpwstr>
  </property>
</Properties>
</file>