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8E16E">
      <w:pPr>
        <w:spacing w:line="576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附件2</w:t>
      </w:r>
    </w:p>
    <w:p w14:paraId="6B370A26">
      <w:pPr>
        <w:spacing w:line="576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四川省公路水运建设工程</w:t>
      </w:r>
    </w:p>
    <w:p w14:paraId="7078CCC3">
      <w:pPr>
        <w:spacing w:line="576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电子招投标系统运行应急处理方案</w:t>
      </w:r>
    </w:p>
    <w:p w14:paraId="46D3CE3D">
      <w:pPr>
        <w:spacing w:line="400" w:lineRule="exact"/>
        <w:jc w:val="center"/>
        <w:rPr>
          <w:rFonts w:ascii="宋体" w:hAnsi="宋体"/>
          <w:sz w:val="44"/>
          <w:szCs w:val="44"/>
        </w:rPr>
      </w:pPr>
    </w:p>
    <w:p w14:paraId="052087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为保证四川省公路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水运建设工程电子招投标系统（以下简称“电子招投标系统”）正常运行，快速有效的解决系统运行过程中的突发事件，最大程度减少突发事件造成的损失和影响，省政府政务服务和公共资源交易服务中心（以下简称“</w:t>
      </w:r>
      <w:r>
        <w:rPr>
          <w:rFonts w:hint="eastAsia" w:eastAsia="仿宋_GB2312"/>
          <w:color w:val="auto"/>
          <w:sz w:val="32"/>
          <w:szCs w:val="32"/>
        </w:rPr>
        <w:t>省交易中心</w:t>
      </w:r>
      <w:r>
        <w:rPr>
          <w:rFonts w:hint="eastAsia" w:eastAsia="仿宋_GB2312"/>
          <w:sz w:val="32"/>
          <w:szCs w:val="32"/>
        </w:rPr>
        <w:t>”）</w:t>
      </w:r>
      <w:r>
        <w:rPr>
          <w:rFonts w:hint="eastAsia" w:eastAsia="仿宋_GB2312"/>
          <w:sz w:val="32"/>
          <w:szCs w:val="32"/>
          <w:lang w:eastAsia="zh-CN"/>
        </w:rPr>
        <w:t>和</w:t>
      </w:r>
      <w:r>
        <w:rPr>
          <w:rFonts w:hint="eastAsia" w:eastAsia="仿宋_GB2312"/>
          <w:sz w:val="32"/>
          <w:szCs w:val="32"/>
        </w:rPr>
        <w:t>交通运输厅</w:t>
      </w:r>
      <w:r>
        <w:rPr>
          <w:rFonts w:hint="eastAsia" w:eastAsia="仿宋_GB2312"/>
          <w:sz w:val="32"/>
          <w:szCs w:val="32"/>
          <w:lang w:eastAsia="zh-CN"/>
        </w:rPr>
        <w:t>共同</w:t>
      </w:r>
      <w:r>
        <w:rPr>
          <w:rFonts w:hint="eastAsia" w:eastAsia="仿宋_GB2312"/>
          <w:sz w:val="32"/>
          <w:szCs w:val="32"/>
        </w:rPr>
        <w:t>制订本应急处理方案。</w:t>
      </w:r>
    </w:p>
    <w:p w14:paraId="6DB6194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一、职责分工</w:t>
      </w:r>
    </w:p>
    <w:p w14:paraId="17EEB2B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/>
          <w:b/>
          <w:bCs/>
          <w:color w:val="auto"/>
          <w:sz w:val="32"/>
          <w:szCs w:val="32"/>
          <w:highlight w:val="none"/>
        </w:rPr>
        <w:t>省交易中心</w:t>
      </w:r>
    </w:p>
    <w:p w14:paraId="5562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牵头负责电子招标投标系统运行保障和应急处理，负责交易平台运行各环节工作的安排协调、应急调度处理和保障服务，负责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eastAsia" w:eastAsia="仿宋_GB2312"/>
          <w:color w:val="auto"/>
          <w:sz w:val="32"/>
          <w:szCs w:val="32"/>
          <w:highlight w:val="none"/>
        </w:rPr>
        <w:t>数字证书办理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指南</w:t>
      </w:r>
      <w:r>
        <w:rPr>
          <w:rFonts w:hint="eastAsia" w:eastAsia="仿宋_GB2312"/>
          <w:color w:val="auto"/>
          <w:sz w:val="32"/>
          <w:szCs w:val="32"/>
          <w:highlight w:val="none"/>
        </w:rPr>
        <w:t>及咨询服务；组织电子招投标系统开发单位对系统运行软件、硬件（服务器、网络、电源等）维护、保障、应急处理和系统运行有关咨询服务；收集系统运行期间的各类情况，组织系统开发单位按要求对系统进行完善和修改。</w:t>
      </w:r>
    </w:p>
    <w:p w14:paraId="19ECF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701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）交通运输厅</w:t>
      </w:r>
    </w:p>
    <w:p w14:paraId="69C2B24A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牵头负责公路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水运工程项目开展电子招投标活动的全过程业务保障和应急处理，组织相关行政监督部门对项目招投标活动实施行政监督；组织范本编制单位做好系统运行业务保障及应急处理；指导招标人做好电子招投标活动中有关问题的处理；组织范本编制单位按要求对招标范本进行完善和修改。</w:t>
      </w:r>
    </w:p>
    <w:p w14:paraId="19A1A8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val="en-US" w:eastAsia="zh-CN"/>
        </w:rPr>
        <w:t>（三）项目行政监督单位</w:t>
      </w:r>
    </w:p>
    <w:p w14:paraId="6202B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按相关行政监督部门的工作职责，对招标人（招标代理机构）在开评标阶段处理有关系统运行保障及应急处理相关事宜进行监督，确保招投标活动依法依规顺利开展。</w:t>
      </w:r>
    </w:p>
    <w:p w14:paraId="6732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楷体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应急工作联络</w:t>
      </w:r>
    </w:p>
    <w:p w14:paraId="0CEA2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保障系统建设和运行过程中各项</w:t>
      </w:r>
      <w:r>
        <w:rPr>
          <w:rFonts w:hint="eastAsia" w:eastAsia="仿宋_GB2312"/>
          <w:color w:val="auto"/>
          <w:sz w:val="32"/>
          <w:szCs w:val="32"/>
          <w:highlight w:val="none"/>
        </w:rPr>
        <w:t>工作的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有效对接和</w:t>
      </w:r>
      <w:r>
        <w:rPr>
          <w:rFonts w:hint="eastAsia" w:eastAsia="仿宋_GB2312"/>
          <w:color w:val="auto"/>
          <w:sz w:val="32"/>
          <w:szCs w:val="32"/>
          <w:highlight w:val="none"/>
        </w:rPr>
        <w:t>沟通，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各</w:t>
      </w:r>
      <w:r>
        <w:rPr>
          <w:rFonts w:hint="eastAsia" w:eastAsia="仿宋_GB2312"/>
          <w:color w:val="auto"/>
          <w:sz w:val="32"/>
          <w:szCs w:val="32"/>
          <w:highlight w:val="none"/>
        </w:rPr>
        <w:t>单位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除项目监督单位外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均设联络员，其中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省交易中心和交通运输厅作为牵头单位，分别</w:t>
      </w:r>
      <w:r>
        <w:rPr>
          <w:rFonts w:hint="eastAsia" w:eastAsia="仿宋_GB2312"/>
          <w:color w:val="auto"/>
          <w:sz w:val="32"/>
          <w:szCs w:val="32"/>
          <w:highlight w:val="none"/>
        </w:rPr>
        <w:t>设总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协调员、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联络员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eastAsia="仿宋_GB2312"/>
          <w:color w:val="auto"/>
          <w:sz w:val="32"/>
          <w:szCs w:val="32"/>
          <w:highlight w:val="none"/>
        </w:rPr>
        <w:t>一名，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eastAsia="仿宋_GB2312"/>
          <w:color w:val="auto"/>
          <w:sz w:val="32"/>
          <w:szCs w:val="32"/>
          <w:highlight w:val="none"/>
        </w:rPr>
        <w:t>单位设联络员一名。总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协调员</w:t>
      </w:r>
      <w:r>
        <w:rPr>
          <w:rFonts w:hint="eastAsia" w:eastAsia="仿宋_GB2312"/>
          <w:color w:val="auto"/>
          <w:sz w:val="32"/>
          <w:szCs w:val="32"/>
          <w:highlight w:val="none"/>
        </w:rPr>
        <w:t>负责牵头单位之间的联系和沟通，并及时向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相关</w:t>
      </w:r>
      <w:r>
        <w:rPr>
          <w:rFonts w:hint="eastAsia" w:eastAsia="仿宋_GB2312"/>
          <w:color w:val="auto"/>
          <w:sz w:val="32"/>
          <w:szCs w:val="32"/>
          <w:highlight w:val="none"/>
        </w:rPr>
        <w:t>领导汇报有关工作。联络员负责内部有关部门或技术支持单位的沟通，掌握系统运行的有关情况，及时向总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协调</w:t>
      </w:r>
      <w:r>
        <w:rPr>
          <w:rFonts w:hint="eastAsia" w:eastAsia="仿宋_GB2312"/>
          <w:color w:val="auto"/>
          <w:sz w:val="32"/>
          <w:szCs w:val="32"/>
          <w:highlight w:val="none"/>
        </w:rPr>
        <w:t>员汇报。</w:t>
      </w:r>
    </w:p>
    <w:p w14:paraId="22EA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highlight w:val="none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招标人（招标代理机构）或投标人在使用电子招投标系统时，若发现标准招标文件或系统存在问题，应及时与交通运输厅和省交易中心的联络员联系，联络员将收到的问题、修改建议、处理结果按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《信息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流转</w:t>
      </w:r>
      <w:r>
        <w:rPr>
          <w:rFonts w:hint="eastAsia" w:eastAsia="仿宋_GB2312"/>
          <w:color w:val="auto"/>
          <w:sz w:val="32"/>
          <w:szCs w:val="32"/>
          <w:highlight w:val="none"/>
        </w:rPr>
        <w:t>表》做好相关书面记录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针对需要紧急处理解决的问题，由联络员按照应急处置机制处理。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highlight w:val="none"/>
        </w:rPr>
        <w:t>针对需要会商解决的问题，由牵头单位的总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协调</w:t>
      </w:r>
      <w:r>
        <w:rPr>
          <w:rFonts w:hint="eastAsia" w:eastAsia="仿宋_GB2312"/>
          <w:color w:val="auto"/>
          <w:sz w:val="32"/>
          <w:szCs w:val="32"/>
          <w:highlight w:val="none"/>
        </w:rPr>
        <w:t>员提出，然后组织相关单位共同进行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讨论</w:t>
      </w:r>
      <w:r>
        <w:rPr>
          <w:rFonts w:hint="eastAsia" w:eastAsia="仿宋_GB2312"/>
          <w:color w:val="auto"/>
          <w:sz w:val="32"/>
          <w:szCs w:val="32"/>
          <w:highlight w:val="none"/>
        </w:rPr>
        <w:t>研究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eastAsia="仿宋_GB2312"/>
          <w:color w:val="auto"/>
          <w:sz w:val="32"/>
          <w:szCs w:val="32"/>
          <w:highlight w:val="none"/>
        </w:rPr>
        <w:t>各牵头单位联络员负责将出现的问题及处理措施按《信息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流转</w:t>
      </w:r>
      <w:r>
        <w:rPr>
          <w:rFonts w:hint="eastAsia" w:eastAsia="仿宋_GB2312"/>
          <w:color w:val="auto"/>
          <w:sz w:val="32"/>
          <w:szCs w:val="32"/>
          <w:highlight w:val="none"/>
        </w:rPr>
        <w:t>表》做好相关书面记录，同时做好台账登记工作。</w:t>
      </w:r>
    </w:p>
    <w:p w14:paraId="307DD3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部分情况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的应急预案</w:t>
      </w:r>
    </w:p>
    <w:p w14:paraId="7FE50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（一）招标文件无法生成</w:t>
      </w:r>
    </w:p>
    <w:p w14:paraId="0B70A6F2">
      <w:pPr>
        <w:ind w:firstLine="548" w:firstLineChars="196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问题描述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211B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75" w:type="dxa"/>
            <w:shd w:val="clear" w:color="auto" w:fill="B3B3B3"/>
          </w:tcPr>
          <w:p w14:paraId="4E54680A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4B2DD933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问题描述</w:t>
            </w:r>
          </w:p>
        </w:tc>
      </w:tr>
      <w:tr w14:paraId="2574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75" w:type="dxa"/>
            <w:vAlign w:val="center"/>
          </w:tcPr>
          <w:p w14:paraId="621DBCD1"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41" w:type="dxa"/>
            <w:vAlign w:val="center"/>
          </w:tcPr>
          <w:p w14:paraId="7D3C6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招标人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在编制招标文件时，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文件无法正常生成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。</w:t>
            </w:r>
          </w:p>
        </w:tc>
      </w:tr>
    </w:tbl>
    <w:p w14:paraId="787A2948">
      <w:pPr>
        <w:ind w:firstLine="548" w:firstLineChars="196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</w:rPr>
        <w:t>应急处理方案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5FB9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</w:trPr>
        <w:tc>
          <w:tcPr>
            <w:tcW w:w="675" w:type="dxa"/>
            <w:shd w:val="clear" w:color="auto" w:fill="B3B3B3"/>
          </w:tcPr>
          <w:p w14:paraId="3458ECDA">
            <w:pPr>
              <w:spacing w:line="288" w:lineRule="auto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3CD7A9BB">
            <w:pPr>
              <w:spacing w:line="288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应急处理方案步骤说明</w:t>
            </w:r>
          </w:p>
        </w:tc>
      </w:tr>
      <w:tr w14:paraId="0147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75" w:type="dxa"/>
            <w:vAlign w:val="center"/>
          </w:tcPr>
          <w:p w14:paraId="4F771ED7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41" w:type="dxa"/>
            <w:vAlign w:val="center"/>
          </w:tcPr>
          <w:p w14:paraId="4BD18E74"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第一步：招标人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省交易中心信息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处技术支撑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工作人员。</w:t>
            </w:r>
          </w:p>
        </w:tc>
      </w:tr>
      <w:tr w14:paraId="7301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675" w:type="dxa"/>
            <w:vAlign w:val="center"/>
          </w:tcPr>
          <w:p w14:paraId="48596BAF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741" w:type="dxa"/>
            <w:vAlign w:val="center"/>
          </w:tcPr>
          <w:p w14:paraId="0C1DE676"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第二步：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技术支撑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工作人员检查判定无法生成原因。是否是电脑系统设置或配置变更导致客户端与服务器端的连接失败，如是电脑系统设置或配置问题则由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省交易中心信息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处技术支撑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工作人员指导招标人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进行修改，若是服务器端网络故障则由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技术支撑工作人员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政务云网络服务提供方</w:t>
            </w:r>
            <w:r>
              <w:rPr>
                <w:rFonts w:hint="eastAsia" w:ascii="宋体" w:hAnsi="宋体" w:cs="Arial"/>
                <w:color w:val="auto"/>
                <w:szCs w:val="21"/>
                <w:highlight w:val="none"/>
              </w:rPr>
              <w:t>。</w:t>
            </w:r>
          </w:p>
        </w:tc>
      </w:tr>
      <w:tr w14:paraId="5885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75" w:type="dxa"/>
            <w:vAlign w:val="center"/>
          </w:tcPr>
          <w:p w14:paraId="3D0D0B24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7741" w:type="dxa"/>
            <w:vAlign w:val="center"/>
          </w:tcPr>
          <w:p w14:paraId="1A5E95AB">
            <w:pPr>
              <w:spacing w:line="40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第三步：检查招标文件生成的其它因素，是否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是有未知因素导致生成报错，在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招标人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报错机器上检查。若是系统程序有BUG，则记录后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由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系统开发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单位负责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评估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进行紧急修复。</w:t>
            </w:r>
          </w:p>
        </w:tc>
      </w:tr>
    </w:tbl>
    <w:p w14:paraId="5958F0F9">
      <w:pPr>
        <w:spacing w:line="560" w:lineRule="exact"/>
        <w:ind w:firstLine="640" w:firstLineChars="200"/>
        <w:rPr>
          <w:rFonts w:ascii="楷体" w:hAnsi="楷体" w:eastAsia="楷体" w:cs="楷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（二）投标管理应急预案</w:t>
      </w:r>
    </w:p>
    <w:p w14:paraId="76B28DCE">
      <w:pPr>
        <w:pStyle w:val="9"/>
        <w:spacing w:before="0" w:after="0" w:line="560" w:lineRule="exact"/>
        <w:ind w:firstLine="664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1.无法生成投标文件</w:t>
      </w:r>
    </w:p>
    <w:p w14:paraId="79B78EE6">
      <w:pPr>
        <w:spacing w:line="560" w:lineRule="exact"/>
        <w:ind w:firstLine="548" w:firstLineChars="196"/>
        <w:rPr>
          <w:rFonts w:ascii="仿宋" w:hAnsi="仿宋" w:eastAsia="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问题描述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3896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shd w:val="clear" w:color="auto" w:fill="B3B3B3"/>
            <w:vAlign w:val="center"/>
          </w:tcPr>
          <w:p w14:paraId="0390B525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7F0E386E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问题描述</w:t>
            </w:r>
          </w:p>
        </w:tc>
      </w:tr>
      <w:tr w14:paraId="0FCC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Align w:val="center"/>
          </w:tcPr>
          <w:p w14:paraId="509DF9D9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41" w:type="dxa"/>
            <w:vAlign w:val="center"/>
          </w:tcPr>
          <w:p w14:paraId="3CCC0FA6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由于客户端原因造成无法生成投标文件。</w:t>
            </w:r>
          </w:p>
        </w:tc>
      </w:tr>
    </w:tbl>
    <w:p w14:paraId="4D25ED7E">
      <w:pPr>
        <w:ind w:firstLine="548" w:firstLineChars="196"/>
        <w:rPr>
          <w:rFonts w:ascii="仿宋" w:hAnsi="仿宋" w:eastAsia="仿宋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应急处理方案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6DB7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75" w:type="dxa"/>
            <w:shd w:val="clear" w:color="auto" w:fill="B3B3B3"/>
            <w:vAlign w:val="center"/>
          </w:tcPr>
          <w:p w14:paraId="4F9455A1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4C697A64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应急处理方案步骤说明</w:t>
            </w:r>
          </w:p>
        </w:tc>
      </w:tr>
      <w:tr w14:paraId="2051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center"/>
          </w:tcPr>
          <w:p w14:paraId="3CB245C8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41" w:type="dxa"/>
            <w:vAlign w:val="center"/>
          </w:tcPr>
          <w:p w14:paraId="5615CD54">
            <w:pPr>
              <w:widowControl/>
              <w:spacing w:line="400" w:lineRule="exact"/>
              <w:rPr>
                <w:rFonts w:ascii="宋体" w:hAnsi="宋体" w:cs="宋体" w:eastAsia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第一步：投标人无法生成投标文件，将问题反馈至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省交易中心信息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处技术支撑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工作人员。</w:t>
            </w:r>
          </w:p>
        </w:tc>
      </w:tr>
      <w:tr w14:paraId="155B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75" w:type="dxa"/>
            <w:vAlign w:val="center"/>
          </w:tcPr>
          <w:p w14:paraId="6FB7F0D1"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741" w:type="dxa"/>
            <w:vAlign w:val="center"/>
          </w:tcPr>
          <w:p w14:paraId="1DB7BAC2"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第二步：指导投标人下载最新投标客户端，并更新CA驱动。</w:t>
            </w:r>
          </w:p>
        </w:tc>
      </w:tr>
      <w:tr w14:paraId="1A00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5" w:type="dxa"/>
            <w:vAlign w:val="center"/>
          </w:tcPr>
          <w:p w14:paraId="12F3EE8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7741" w:type="dxa"/>
            <w:vAlign w:val="center"/>
          </w:tcPr>
          <w:p w14:paraId="461CA8A0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第三步：若问题仍未解决可报上报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系统开发</w:t>
            </w:r>
            <w:r>
              <w:rPr>
                <w:rFonts w:hint="eastAsia" w:ascii="宋体" w:hAnsi="宋体" w:cs="宋体"/>
                <w:szCs w:val="21"/>
              </w:rPr>
              <w:t>单位负责人，通过远程等方式进行查看，以解决客户端问题。</w:t>
            </w:r>
          </w:p>
        </w:tc>
      </w:tr>
    </w:tbl>
    <w:p w14:paraId="67260A2D">
      <w:pPr>
        <w:pStyle w:val="9"/>
        <w:spacing w:before="0" w:after="0" w:line="560" w:lineRule="exact"/>
        <w:ind w:firstLine="66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2.上传投标文件失败</w:t>
      </w:r>
    </w:p>
    <w:p w14:paraId="417FA419">
      <w:pPr>
        <w:spacing w:line="560" w:lineRule="exact"/>
        <w:ind w:firstLine="548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问题描述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7721"/>
      </w:tblGrid>
      <w:tr w14:paraId="1FCA1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shd w:val="clear" w:color="auto" w:fill="B3B3B3"/>
            <w:vAlign w:val="center"/>
          </w:tcPr>
          <w:p w14:paraId="321A4D1C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21" w:type="dxa"/>
            <w:shd w:val="clear" w:color="auto" w:fill="B3B3B3"/>
            <w:vAlign w:val="center"/>
          </w:tcPr>
          <w:p w14:paraId="36BC087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问题描述</w:t>
            </w:r>
          </w:p>
        </w:tc>
      </w:tr>
      <w:tr w14:paraId="7D39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95" w:type="dxa"/>
            <w:vAlign w:val="center"/>
          </w:tcPr>
          <w:p w14:paraId="42489870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721" w:type="dxa"/>
            <w:vAlign w:val="center"/>
          </w:tcPr>
          <w:p w14:paraId="6869DE3D">
            <w:pPr>
              <w:spacing w:line="288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投标人在截标前上传投标文件，出现提交失败、或提交时间过长的现象。</w:t>
            </w:r>
          </w:p>
        </w:tc>
      </w:tr>
    </w:tbl>
    <w:p w14:paraId="401882FC">
      <w:pPr>
        <w:spacing w:line="288" w:lineRule="auto"/>
        <w:ind w:firstLine="548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应急处理方案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6CFB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75" w:type="dxa"/>
            <w:shd w:val="clear" w:color="auto" w:fill="B3B3B3"/>
            <w:vAlign w:val="center"/>
          </w:tcPr>
          <w:p w14:paraId="4B73993B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15BC6380">
            <w:pPr>
              <w:spacing w:line="4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应急处理方案步骤说明</w:t>
            </w:r>
          </w:p>
        </w:tc>
      </w:tr>
      <w:tr w14:paraId="21DE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75" w:type="dxa"/>
            <w:vAlign w:val="center"/>
          </w:tcPr>
          <w:p w14:paraId="0DB7B66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741" w:type="dxa"/>
            <w:vAlign w:val="center"/>
          </w:tcPr>
          <w:p w14:paraId="5B337F92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第一步：确认是否系统问题还是客户端环境问题，如确认是客户端环境问题导致，比如网络问题或环境问题，由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省交易中心信息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处技术支撑</w:t>
            </w:r>
            <w:r>
              <w:rPr>
                <w:rFonts w:hint="eastAsia" w:ascii="宋体" w:hAnsi="宋体"/>
                <w:color w:val="auto"/>
                <w:szCs w:val="21"/>
              </w:rPr>
              <w:t>工作人员指导解决。</w:t>
            </w:r>
          </w:p>
        </w:tc>
      </w:tr>
      <w:tr w14:paraId="155E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75" w:type="dxa"/>
            <w:vAlign w:val="center"/>
          </w:tcPr>
          <w:p w14:paraId="0FE1E6B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7741" w:type="dxa"/>
            <w:vAlign w:val="center"/>
          </w:tcPr>
          <w:p w14:paraId="230ACE6F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第二步：如确认是系统问题，则由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省交易中心信息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技术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处技术支撑</w:t>
            </w:r>
            <w:r>
              <w:rPr>
                <w:rFonts w:hint="eastAsia" w:ascii="宋体" w:hAnsi="宋体"/>
                <w:color w:val="auto"/>
                <w:szCs w:val="21"/>
              </w:rPr>
              <w:t>工作人员负责联系并及时进行解决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</w:tr>
    </w:tbl>
    <w:p w14:paraId="05FF1D9C">
      <w:pPr>
        <w:spacing w:line="560" w:lineRule="exact"/>
        <w:ind w:firstLine="640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（三）开标管理应急预案</w:t>
      </w:r>
    </w:p>
    <w:p w14:paraId="5E503E90">
      <w:pPr>
        <w:pStyle w:val="9"/>
        <w:spacing w:before="0" w:after="0" w:line="560" w:lineRule="exact"/>
        <w:ind w:firstLine="664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1.标书解密</w:t>
      </w:r>
    </w:p>
    <w:p w14:paraId="6179EF63">
      <w:pPr>
        <w:spacing w:line="560" w:lineRule="exact"/>
        <w:ind w:firstLine="548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问题描述</w:t>
      </w:r>
    </w:p>
    <w:tbl>
      <w:tblPr>
        <w:tblStyle w:val="4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51"/>
      </w:tblGrid>
      <w:tr w14:paraId="546A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675" w:type="dxa"/>
            <w:shd w:val="clear" w:color="auto" w:fill="B3B3B3"/>
            <w:vAlign w:val="center"/>
          </w:tcPr>
          <w:p w14:paraId="4D81435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51" w:type="dxa"/>
            <w:shd w:val="clear" w:color="auto" w:fill="B3B3B3"/>
            <w:vAlign w:val="center"/>
          </w:tcPr>
          <w:p w14:paraId="46D227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问题描述</w:t>
            </w:r>
          </w:p>
        </w:tc>
      </w:tr>
      <w:tr w14:paraId="1282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184324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7751" w:type="dxa"/>
            <w:vAlign w:val="center"/>
          </w:tcPr>
          <w:p w14:paraId="5D09AE2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投标人不能正常进行远程解密。</w:t>
            </w:r>
          </w:p>
        </w:tc>
      </w:tr>
    </w:tbl>
    <w:p w14:paraId="41B15270">
      <w:pPr>
        <w:ind w:firstLine="548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应急处理方案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5A8E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75" w:type="dxa"/>
            <w:shd w:val="clear" w:color="auto" w:fill="B3B3B3"/>
          </w:tcPr>
          <w:p w14:paraId="6F7F268B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391927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应急处理方案步骤说明</w:t>
            </w:r>
          </w:p>
        </w:tc>
      </w:tr>
      <w:tr w14:paraId="53619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675" w:type="dxa"/>
            <w:vAlign w:val="center"/>
          </w:tcPr>
          <w:p w14:paraId="7CC37193"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741" w:type="dxa"/>
            <w:vAlign w:val="center"/>
          </w:tcPr>
          <w:p w14:paraId="10185A37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第一步：</w:t>
            </w:r>
            <w:r>
              <w:rPr>
                <w:rFonts w:hint="eastAsia" w:ascii="宋体" w:hAnsi="宋体"/>
                <w:color w:val="000000"/>
                <w:szCs w:val="21"/>
              </w:rPr>
              <w:t>投标文件通过电子招标投标系统以数字证书在线方式远程开标。</w:t>
            </w:r>
          </w:p>
          <w:p w14:paraId="2DA40FD1">
            <w:pPr>
              <w:spacing w:line="4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1.投标人应按招标文件要求在规定的时间对投标文件进行远程解密。因投标人原因造成投标文件未解密的，视为撤销其投标文件。投标人撤销投标文件的，应按招标文件的规定做相应处理。</w:t>
            </w:r>
          </w:p>
          <w:p w14:paraId="40072334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2.若出现因非投标人原因造成投标文件未解密的（例如所有投标人的投标文件均不能解密的，则视为非投标人原因）。</w:t>
            </w:r>
          </w:p>
        </w:tc>
      </w:tr>
      <w:tr w14:paraId="065B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675" w:type="dxa"/>
            <w:vAlign w:val="center"/>
          </w:tcPr>
          <w:p w14:paraId="1E01BF7F">
            <w:pPr>
              <w:spacing w:line="288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7741" w:type="dxa"/>
            <w:vAlign w:val="center"/>
          </w:tcPr>
          <w:p w14:paraId="5EA1A52F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第二步：省交易中心交易组织处将问题告知信息技术处及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技术支撑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工作人员</w:t>
            </w:r>
            <w:r>
              <w:rPr>
                <w:rFonts w:hint="eastAsia" w:ascii="宋体" w:hAnsi="宋体"/>
                <w:color w:val="auto"/>
                <w:szCs w:val="21"/>
              </w:rPr>
              <w:t>进行排查解决，若能快速解决，则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由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技术支撑工作人员</w:t>
            </w:r>
            <w:r>
              <w:rPr>
                <w:rFonts w:hint="eastAsia" w:ascii="宋体" w:hAnsi="宋体"/>
                <w:color w:val="auto"/>
                <w:szCs w:val="21"/>
              </w:rPr>
              <w:t>解决并恢复；</w:t>
            </w:r>
          </w:p>
        </w:tc>
      </w:tr>
      <w:tr w14:paraId="30AAD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675" w:type="dxa"/>
            <w:vAlign w:val="center"/>
          </w:tcPr>
          <w:p w14:paraId="3D30AA94">
            <w:pPr>
              <w:spacing w:line="288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7741" w:type="dxa"/>
            <w:vAlign w:val="center"/>
          </w:tcPr>
          <w:p w14:paraId="001E08FA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第三步：</w:t>
            </w:r>
            <w:r>
              <w:rPr>
                <w:rFonts w:hint="eastAsia" w:ascii="宋体" w:hAnsi="宋体"/>
                <w:color w:val="auto"/>
                <w:szCs w:val="21"/>
              </w:rPr>
              <w:t>若不能快速解决，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由招标人（招标代理机构）</w:t>
            </w:r>
            <w:r>
              <w:rPr>
                <w:rFonts w:hint="eastAsia" w:ascii="宋体" w:hAnsi="宋体"/>
                <w:color w:val="auto"/>
                <w:szCs w:val="21"/>
              </w:rPr>
              <w:t>中止电子开标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及时另行安排开标时间，并将有关情况告知所有投标人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交易组织处组织</w:t>
            </w:r>
            <w:r>
              <w:rPr>
                <w:rFonts w:hint="eastAsia" w:ascii="宋体" w:hAnsi="宋体"/>
                <w:color w:val="auto"/>
                <w:szCs w:val="21"/>
              </w:rPr>
              <w:t>招标人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招标代理机构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Cs w:val="21"/>
              </w:rPr>
              <w:t>将原有资料及信息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移送</w:t>
            </w:r>
            <w:r>
              <w:rPr>
                <w:rFonts w:hint="eastAsia" w:ascii="宋体" w:hAnsi="宋体"/>
                <w:color w:val="auto"/>
                <w:szCs w:val="21"/>
              </w:rPr>
              <w:t>交易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评审处</w:t>
            </w:r>
            <w:r>
              <w:rPr>
                <w:rFonts w:hint="eastAsia" w:ascii="宋体" w:hAnsi="宋体"/>
                <w:color w:val="auto"/>
                <w:szCs w:val="21"/>
              </w:rPr>
              <w:t>妥善保密处理。</w:t>
            </w:r>
          </w:p>
        </w:tc>
      </w:tr>
    </w:tbl>
    <w:p w14:paraId="3CB64BEA">
      <w:pPr>
        <w:ind w:firstLine="640" w:firstLineChars="200"/>
        <w:rPr>
          <w:rFonts w:ascii="Arial" w:hAnsi="Arial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（四）评标管理应急预案</w:t>
      </w:r>
    </w:p>
    <w:p w14:paraId="27973D06">
      <w:pPr>
        <w:pStyle w:val="9"/>
        <w:spacing w:before="0" w:after="0" w:line="560" w:lineRule="exact"/>
        <w:ind w:firstLine="664" w:firstLineChars="200"/>
        <w:rPr>
          <w:rFonts w:ascii="仿宋" w:hAnsi="仿宋" w:eastAsia="仿宋"/>
          <w:sz w:val="32"/>
          <w:szCs w:val="32"/>
        </w:rPr>
      </w:pPr>
      <w:r>
        <w:rPr>
          <w:rFonts w:ascii="Times New Roman" w:hAnsi="Times New Roman" w:eastAsia="仿宋"/>
          <w:b w:val="0"/>
          <w:bCs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.评标</w:t>
      </w:r>
    </w:p>
    <w:p w14:paraId="092557AE">
      <w:pPr>
        <w:spacing w:line="560" w:lineRule="exact"/>
        <w:ind w:firstLine="686" w:firstLineChars="245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问题描述</w:t>
      </w:r>
    </w:p>
    <w:tbl>
      <w:tblPr>
        <w:tblStyle w:val="4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41"/>
      </w:tblGrid>
      <w:tr w14:paraId="4C52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75" w:type="dxa"/>
            <w:shd w:val="clear" w:color="auto" w:fill="B3B3B3"/>
          </w:tcPr>
          <w:p w14:paraId="1A230734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7741" w:type="dxa"/>
            <w:shd w:val="clear" w:color="auto" w:fill="B3B3B3"/>
            <w:vAlign w:val="center"/>
          </w:tcPr>
          <w:p w14:paraId="4D86F7A9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问题描述</w:t>
            </w:r>
          </w:p>
        </w:tc>
      </w:tr>
      <w:tr w14:paraId="6B3A4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75" w:type="dxa"/>
            <w:vAlign w:val="center"/>
          </w:tcPr>
          <w:p w14:paraId="258EA648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7741" w:type="dxa"/>
            <w:vAlign w:val="center"/>
          </w:tcPr>
          <w:p w14:paraId="52F4D0D1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评标过程出现报错或评标无法进行下去。</w:t>
            </w:r>
          </w:p>
        </w:tc>
      </w:tr>
    </w:tbl>
    <w:p w14:paraId="7C8E0D12">
      <w:pPr>
        <w:ind w:firstLine="548" w:firstLineChars="19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应急处理方案</w:t>
      </w:r>
    </w:p>
    <w:tbl>
      <w:tblPr>
        <w:tblStyle w:val="4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761"/>
      </w:tblGrid>
      <w:tr w14:paraId="23C9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  <w:shd w:val="clear" w:color="auto" w:fill="B3B3B3"/>
          </w:tcPr>
          <w:p w14:paraId="62792EF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61" w:type="dxa"/>
            <w:shd w:val="clear" w:color="auto" w:fill="B3B3B3"/>
            <w:vAlign w:val="center"/>
          </w:tcPr>
          <w:p w14:paraId="35CAD0A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应急方案步骤说明</w:t>
            </w:r>
          </w:p>
        </w:tc>
      </w:tr>
      <w:tr w14:paraId="02B9D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5" w:type="dxa"/>
            <w:vAlign w:val="center"/>
          </w:tcPr>
          <w:p w14:paraId="24869004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7761" w:type="dxa"/>
            <w:vAlign w:val="center"/>
          </w:tcPr>
          <w:p w14:paraId="30BAA82A">
            <w:pPr>
              <w:spacing w:line="40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第一步：评标专家将系统问题书面反馈至省交易中心评审处门禁处，由评审处将问题反馈给项目监督人员和招标人，以及信息技术处。</w:t>
            </w:r>
          </w:p>
        </w:tc>
      </w:tr>
      <w:tr w14:paraId="37A2D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675" w:type="dxa"/>
            <w:vAlign w:val="center"/>
          </w:tcPr>
          <w:p w14:paraId="271E71AB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7761" w:type="dxa"/>
            <w:vAlign w:val="center"/>
          </w:tcPr>
          <w:p w14:paraId="773671A6">
            <w:pPr>
              <w:spacing w:line="40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第二步：由信息技术处通知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技术支撑工作人员</w:t>
            </w:r>
            <w:r>
              <w:rPr>
                <w:rFonts w:hint="eastAsia"/>
                <w:color w:val="auto"/>
                <w:lang w:val="en-US" w:eastAsia="zh-CN"/>
              </w:rPr>
              <w:t>对发现的问题进行检查排查，确认问题原因，初步提出解决问题的方案，并预估修复时间。</w:t>
            </w:r>
          </w:p>
        </w:tc>
      </w:tr>
      <w:tr w14:paraId="73E62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75" w:type="dxa"/>
            <w:vAlign w:val="center"/>
          </w:tcPr>
          <w:p w14:paraId="3F6115C8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7761" w:type="dxa"/>
            <w:vAlign w:val="center"/>
          </w:tcPr>
          <w:p w14:paraId="08C06B2B">
            <w:pPr>
              <w:spacing w:line="400" w:lineRule="exac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第三步：若系统修复能在短时间内完成（建议修复时间不超过4小时），则评标委员会应在评标室内等候（晚上9：30后应安排隔夜住宿），待修复后，继续评审。</w:t>
            </w:r>
          </w:p>
        </w:tc>
      </w:tr>
      <w:tr w14:paraId="2F7C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675" w:type="dxa"/>
            <w:vAlign w:val="center"/>
          </w:tcPr>
          <w:p w14:paraId="3641C2B4"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761" w:type="dxa"/>
            <w:vAlign w:val="center"/>
          </w:tcPr>
          <w:p w14:paraId="68295EC7">
            <w:pPr>
              <w:spacing w:line="400" w:lineRule="exact"/>
              <w:rPr>
                <w:rFonts w:hint="eastAsia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四步：若系统修复暂时无法修复（建议修复时间超过8小时以上），则由招标人将情况向各单位汇报后，项目监督人员向评标委员会宣布停止评标，且评标专家签订保密协议。原有资料及信息由项目监督人员与招标人对该项目进行封标处理，待系统问题解决，由招标人请示主管部门后，及时重新抽取评标专家进行评标活动（原评标委员会回避）。</w:t>
            </w:r>
          </w:p>
        </w:tc>
      </w:tr>
    </w:tbl>
    <w:p w14:paraId="0E1F7348">
      <w:pPr>
        <w:spacing w:line="560" w:lineRule="exact"/>
        <w:ind w:firstLine="640" w:firstLineChars="2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、环境应急响应预案</w:t>
      </w:r>
    </w:p>
    <w:p w14:paraId="00CBA861">
      <w:pPr>
        <w:ind w:firstLine="640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（一）网络、服务器中断服务</w:t>
      </w:r>
    </w:p>
    <w:p w14:paraId="00EEE759">
      <w:pPr>
        <w:spacing w:line="560" w:lineRule="exact"/>
        <w:ind w:firstLine="548" w:firstLineChars="196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问题描述</w:t>
      </w:r>
    </w:p>
    <w:tbl>
      <w:tblPr>
        <w:tblStyle w:val="4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921"/>
      </w:tblGrid>
      <w:tr w14:paraId="57F9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15" w:type="dxa"/>
            <w:shd w:val="clear" w:color="auto" w:fill="B3B3B3"/>
          </w:tcPr>
          <w:p w14:paraId="478A4253">
            <w:pPr>
              <w:spacing w:line="400" w:lineRule="exact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7921" w:type="dxa"/>
            <w:shd w:val="clear" w:color="auto" w:fill="B3B3B3"/>
          </w:tcPr>
          <w:p w14:paraId="42C3B14A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问题描述</w:t>
            </w:r>
          </w:p>
        </w:tc>
      </w:tr>
      <w:tr w14:paraId="745A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5" w:type="dxa"/>
            <w:vAlign w:val="center"/>
          </w:tcPr>
          <w:p w14:paraId="53676D52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7921" w:type="dxa"/>
            <w:vAlign w:val="center"/>
          </w:tcPr>
          <w:p w14:paraId="0DB34839"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网络、服务器中断服务</w:t>
            </w:r>
          </w:p>
        </w:tc>
      </w:tr>
    </w:tbl>
    <w:p w14:paraId="28098E89">
      <w:pPr>
        <w:ind w:firstLine="548" w:firstLineChars="196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应急处理方案</w:t>
      </w:r>
    </w:p>
    <w:tbl>
      <w:tblPr>
        <w:tblStyle w:val="4"/>
        <w:tblW w:w="8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024"/>
      </w:tblGrid>
      <w:tr w14:paraId="31A0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12" w:type="dxa"/>
            <w:shd w:val="clear" w:color="auto" w:fill="B3B3B3"/>
            <w:vAlign w:val="center"/>
          </w:tcPr>
          <w:p w14:paraId="378A1C47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024" w:type="dxa"/>
            <w:shd w:val="clear" w:color="auto" w:fill="B3B3B3"/>
            <w:vAlign w:val="center"/>
          </w:tcPr>
          <w:p w14:paraId="6925AB49">
            <w:pPr>
              <w:spacing w:line="288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应急方案步骤说明</w:t>
            </w:r>
          </w:p>
        </w:tc>
      </w:tr>
      <w:tr w14:paraId="4A55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12" w:type="dxa"/>
            <w:vAlign w:val="center"/>
          </w:tcPr>
          <w:p w14:paraId="32029624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8024" w:type="dxa"/>
            <w:vAlign w:val="center"/>
          </w:tcPr>
          <w:p w14:paraId="13BE5662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第一步：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省交易中心信息技术处技术支撑工作人员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经</w:t>
            </w:r>
            <w:r>
              <w:rPr>
                <w:rFonts w:hint="eastAsia" w:ascii="宋体" w:hAnsi="宋体"/>
                <w:color w:val="auto"/>
                <w:szCs w:val="21"/>
              </w:rPr>
              <w:t>初步判定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可能是网络或服务器产生问题的，联系政务云网络服务提供方。</w:t>
            </w:r>
          </w:p>
        </w:tc>
      </w:tr>
      <w:tr w14:paraId="043D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12" w:type="dxa"/>
            <w:vAlign w:val="center"/>
          </w:tcPr>
          <w:p w14:paraId="4C9827A5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8024" w:type="dxa"/>
            <w:vAlign w:val="center"/>
          </w:tcPr>
          <w:p w14:paraId="6CFA2FDF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第二步：网络和服务器维护人员对问题进行诊断，判断是否可通过使用备份或重启在60分钟内恢复服务，若可以则快速实施恢复服务。</w:t>
            </w:r>
          </w:p>
        </w:tc>
      </w:tr>
      <w:tr w14:paraId="0EC1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12" w:type="dxa"/>
            <w:vAlign w:val="center"/>
          </w:tcPr>
          <w:p w14:paraId="2092F6D0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8024" w:type="dxa"/>
            <w:vAlign w:val="center"/>
          </w:tcPr>
          <w:p w14:paraId="61C09E3F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第三步：若问题不能快速解决，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省交易中心信息技术处技术支撑工作人员</w:t>
            </w:r>
            <w:r>
              <w:rPr>
                <w:rFonts w:hint="eastAsia" w:ascii="宋体" w:hAnsi="宋体"/>
                <w:color w:val="auto"/>
                <w:szCs w:val="21"/>
              </w:rPr>
              <w:t>需提出恢复方案以及可能的处理时间，将方案报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相应的牵头单位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47AAE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412" w:type="dxa"/>
            <w:vAlign w:val="center"/>
          </w:tcPr>
          <w:p w14:paraId="68759F94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8024" w:type="dxa"/>
            <w:vAlign w:val="center"/>
          </w:tcPr>
          <w:p w14:paraId="02D1C2FE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第四步：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相应的牵头单位</w:t>
            </w:r>
            <w:r>
              <w:rPr>
                <w:rFonts w:hint="eastAsia" w:ascii="宋体" w:hAnsi="宋体"/>
                <w:color w:val="auto"/>
                <w:szCs w:val="21"/>
              </w:rPr>
              <w:t>同意后，网络和服务器维护方按方案进行实施，先确保服务正常。并通知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系统开发</w:t>
            </w:r>
            <w:r>
              <w:rPr>
                <w:rFonts w:hint="eastAsia" w:ascii="宋体" w:hAnsi="宋体"/>
                <w:color w:val="auto"/>
                <w:szCs w:val="21"/>
              </w:rPr>
              <w:t>单位进行数据核验，将错误信息进行清除。</w:t>
            </w:r>
          </w:p>
        </w:tc>
      </w:tr>
      <w:tr w14:paraId="7E671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12" w:type="dxa"/>
            <w:vAlign w:val="center"/>
          </w:tcPr>
          <w:p w14:paraId="7980A8F0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8024" w:type="dxa"/>
            <w:vAlign w:val="center"/>
          </w:tcPr>
          <w:p w14:paraId="65709CA3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第五步：故障分析后将系统恢复回原状，解除应急状态。</w:t>
            </w:r>
          </w:p>
        </w:tc>
      </w:tr>
    </w:tbl>
    <w:p w14:paraId="7722124B">
      <w:pPr>
        <w:ind w:firstLine="640" w:firstLineChars="200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（二）招标公告推送中断</w:t>
      </w:r>
    </w:p>
    <w:p w14:paraId="66E5B39B">
      <w:pPr>
        <w:ind w:firstLine="594" w:firstLineChars="198"/>
        <w:rPr>
          <w:rFonts w:ascii="仿宋" w:hAnsi="仿宋" w:eastAsia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</w:rPr>
        <w:t>问题</w:t>
      </w:r>
      <w:r>
        <w:rPr>
          <w:rFonts w:ascii="仿宋" w:hAnsi="仿宋" w:eastAsia="仿宋"/>
          <w:b/>
          <w:bCs/>
          <w:color w:val="auto"/>
          <w:sz w:val="30"/>
          <w:szCs w:val="30"/>
        </w:rPr>
        <w:t>描述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7867"/>
      </w:tblGrid>
      <w:tr w14:paraId="28E16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9" w:type="dxa"/>
            <w:shd w:val="clear" w:color="auto" w:fill="B3B3B3"/>
          </w:tcPr>
          <w:p w14:paraId="67EDCFDE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867" w:type="dxa"/>
            <w:shd w:val="clear" w:color="auto" w:fill="B3B3B3"/>
            <w:vAlign w:val="center"/>
          </w:tcPr>
          <w:p w14:paraId="25170159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问题描述</w:t>
            </w:r>
          </w:p>
        </w:tc>
      </w:tr>
      <w:tr w14:paraId="5686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79" w:type="dxa"/>
          </w:tcPr>
          <w:p w14:paraId="1B79A6AC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</w:p>
        </w:tc>
        <w:tc>
          <w:tcPr>
            <w:tcW w:w="7867" w:type="dxa"/>
            <w:vAlign w:val="center"/>
          </w:tcPr>
          <w:p w14:paraId="3EEBEA91">
            <w:pPr>
              <w:spacing w:line="400" w:lineRule="exact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招标</w:t>
            </w:r>
            <w:r>
              <w:rPr>
                <w:rFonts w:ascii="宋体" w:hAnsi="宋体"/>
                <w:color w:val="auto"/>
                <w:szCs w:val="21"/>
              </w:rPr>
              <w:t>公告</w:t>
            </w:r>
            <w:r>
              <w:rPr>
                <w:rFonts w:hint="eastAsia" w:ascii="宋体" w:hAnsi="宋体"/>
                <w:color w:val="auto"/>
                <w:szCs w:val="21"/>
              </w:rPr>
              <w:t>或招标文件或中标候选人结果公示等信息或附件资料</w:t>
            </w:r>
            <w:r>
              <w:rPr>
                <w:rFonts w:ascii="宋体" w:hAnsi="宋体"/>
                <w:color w:val="auto"/>
                <w:szCs w:val="21"/>
              </w:rPr>
              <w:t>推送中断</w:t>
            </w:r>
          </w:p>
        </w:tc>
      </w:tr>
    </w:tbl>
    <w:p w14:paraId="5D674D17">
      <w:pPr>
        <w:ind w:firstLine="548" w:firstLineChars="196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应急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处理</w:t>
      </w:r>
      <w:r>
        <w:rPr>
          <w:rFonts w:ascii="仿宋" w:hAnsi="仿宋" w:eastAsia="仿宋"/>
          <w:b/>
          <w:bCs/>
          <w:color w:val="auto"/>
          <w:sz w:val="28"/>
          <w:szCs w:val="28"/>
        </w:rPr>
        <w:t>方案</w:t>
      </w:r>
    </w:p>
    <w:tbl>
      <w:tblPr>
        <w:tblStyle w:val="4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7967"/>
      </w:tblGrid>
      <w:tr w14:paraId="2C397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9" w:type="dxa"/>
            <w:shd w:val="clear" w:color="auto" w:fill="B3B3B3"/>
            <w:vAlign w:val="center"/>
          </w:tcPr>
          <w:p w14:paraId="6D8A4AD1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967" w:type="dxa"/>
            <w:shd w:val="clear" w:color="auto" w:fill="B3B3B3"/>
            <w:vAlign w:val="center"/>
          </w:tcPr>
          <w:p w14:paraId="5C8CBD8F"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应急</w:t>
            </w:r>
            <w:r>
              <w:rPr>
                <w:rFonts w:hint="eastAsia" w:ascii="宋体" w:hAnsi="宋体"/>
                <w:color w:val="auto"/>
                <w:szCs w:val="21"/>
              </w:rPr>
              <w:t>处理</w:t>
            </w:r>
            <w:r>
              <w:rPr>
                <w:rFonts w:ascii="宋体" w:hAnsi="宋体"/>
                <w:color w:val="auto"/>
                <w:szCs w:val="21"/>
              </w:rPr>
              <w:t>方案步骤说明</w:t>
            </w:r>
          </w:p>
        </w:tc>
      </w:tr>
      <w:tr w14:paraId="5872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79" w:type="dxa"/>
            <w:vAlign w:val="center"/>
          </w:tcPr>
          <w:p w14:paraId="53A2C87F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</w:t>
            </w:r>
          </w:p>
        </w:tc>
        <w:tc>
          <w:tcPr>
            <w:tcW w:w="7967" w:type="dxa"/>
            <w:vAlign w:val="center"/>
          </w:tcPr>
          <w:p w14:paraId="243082B2">
            <w:pPr>
              <w:spacing w:line="400" w:lineRule="exac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第一步：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招标人</w:t>
            </w:r>
            <w:r>
              <w:rPr>
                <w:rFonts w:ascii="宋体" w:hAnsi="宋体"/>
                <w:color w:val="auto"/>
                <w:szCs w:val="21"/>
              </w:rPr>
              <w:t>发现</w:t>
            </w:r>
            <w:r>
              <w:rPr>
                <w:rFonts w:hint="eastAsia" w:ascii="宋体" w:hAnsi="宋体"/>
                <w:color w:val="auto"/>
                <w:szCs w:val="21"/>
              </w:rPr>
              <w:t>招标</w:t>
            </w:r>
            <w:r>
              <w:rPr>
                <w:rFonts w:ascii="宋体" w:hAnsi="宋体"/>
                <w:color w:val="auto"/>
                <w:szCs w:val="21"/>
              </w:rPr>
              <w:t>公告</w:t>
            </w:r>
            <w:r>
              <w:rPr>
                <w:rFonts w:hint="eastAsia" w:ascii="宋体" w:hAnsi="宋体"/>
                <w:color w:val="auto"/>
                <w:szCs w:val="21"/>
              </w:rPr>
              <w:t>或招标文件或中标候选人结果公示等信息或附件资料</w:t>
            </w:r>
            <w:r>
              <w:rPr>
                <w:rFonts w:ascii="宋体" w:hAnsi="宋体"/>
                <w:color w:val="auto"/>
                <w:szCs w:val="21"/>
              </w:rPr>
              <w:t>不能推送或推送后无法显示在</w:t>
            </w:r>
            <w:r>
              <w:rPr>
                <w:rFonts w:hint="eastAsia" w:ascii="宋体" w:hAnsi="宋体"/>
                <w:color w:val="auto"/>
                <w:szCs w:val="21"/>
              </w:rPr>
              <w:t>门户</w:t>
            </w:r>
            <w:r>
              <w:rPr>
                <w:rFonts w:ascii="宋体" w:hAnsi="宋体"/>
                <w:color w:val="auto"/>
                <w:szCs w:val="21"/>
              </w:rPr>
              <w:t>网中，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及时联系省公共资源交易中心受理处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ascii="宋体" w:hAnsi="宋体"/>
                <w:color w:val="auto"/>
                <w:szCs w:val="21"/>
              </w:rPr>
              <w:t>由其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负责</w:t>
            </w:r>
            <w:r>
              <w:rPr>
                <w:rFonts w:ascii="宋体" w:hAnsi="宋体"/>
                <w:color w:val="auto"/>
                <w:szCs w:val="21"/>
              </w:rPr>
              <w:t>排查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并处理解决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 w14:paraId="1A1D2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479" w:type="dxa"/>
            <w:vAlign w:val="center"/>
          </w:tcPr>
          <w:p w14:paraId="1D1AC674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2</w:t>
            </w:r>
          </w:p>
        </w:tc>
        <w:tc>
          <w:tcPr>
            <w:tcW w:w="7967" w:type="dxa"/>
            <w:vAlign w:val="center"/>
          </w:tcPr>
          <w:p w14:paraId="7465386A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第二步：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由省公共资源交易中心受理处负责统筹系统开发</w:t>
            </w:r>
            <w:r>
              <w:rPr>
                <w:rFonts w:ascii="宋体" w:hAnsi="宋体"/>
                <w:color w:val="auto"/>
                <w:szCs w:val="21"/>
              </w:rPr>
              <w:t>单位检查应用系统接口端的程序和数据，排查发生问题的原因</w:t>
            </w:r>
            <w:r>
              <w:rPr>
                <w:rFonts w:hint="eastAsia" w:ascii="宋体" w:hAnsi="宋体"/>
                <w:color w:val="auto"/>
                <w:szCs w:val="21"/>
              </w:rPr>
              <w:t>，并根据原因报送相应单位接口联络人。</w:t>
            </w:r>
          </w:p>
        </w:tc>
      </w:tr>
      <w:tr w14:paraId="3321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 w14:paraId="5B48C162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7967" w:type="dxa"/>
            <w:vAlign w:val="center"/>
          </w:tcPr>
          <w:p w14:paraId="56E9C449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第三步：若问题可以快速定位并恢复，则进行恢复操作，并检查信息或资料队列，将受影响的信息或资料通知相关业务部门，由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省公共资源交易中心受理处</w:t>
            </w:r>
            <w:r>
              <w:rPr>
                <w:rFonts w:hint="eastAsia" w:ascii="宋体" w:hAnsi="宋体"/>
                <w:color w:val="auto"/>
                <w:szCs w:val="21"/>
              </w:rPr>
              <w:t>组织重新发送。随后进行问题产生原因分析及解决，以防止再次发生。</w:t>
            </w:r>
          </w:p>
        </w:tc>
      </w:tr>
      <w:tr w14:paraId="1779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 w14:paraId="34B7ED9F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7967" w:type="dxa"/>
            <w:vAlign w:val="center"/>
          </w:tcPr>
          <w:p w14:paraId="601BA4B9">
            <w:pPr>
              <w:spacing w:line="400" w:lineRule="exac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第四步：若问题不能快速解决，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在交易系统支持的情况下，</w:t>
            </w:r>
            <w:r>
              <w:rPr>
                <w:rFonts w:hint="eastAsia" w:ascii="宋体" w:hAnsi="宋体"/>
                <w:color w:val="auto"/>
                <w:szCs w:val="21"/>
              </w:rPr>
              <w:t>暂由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省公共资源交易中心受理处安排</w:t>
            </w:r>
            <w:r>
              <w:rPr>
                <w:rFonts w:hint="eastAsia" w:ascii="宋体" w:hAnsi="宋体"/>
                <w:color w:val="auto"/>
                <w:szCs w:val="21"/>
              </w:rPr>
              <w:t>人工进行发布，待信息或资料推送服务恢复后，可停止人工处理。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公告时间应满足法定时间（以网站展示时间为准）。</w:t>
            </w:r>
          </w:p>
        </w:tc>
      </w:tr>
      <w:tr w14:paraId="2447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vAlign w:val="center"/>
          </w:tcPr>
          <w:p w14:paraId="31ABB9DE">
            <w:pPr>
              <w:spacing w:line="288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7967" w:type="dxa"/>
            <w:vAlign w:val="center"/>
          </w:tcPr>
          <w:p w14:paraId="5F340399">
            <w:pPr>
              <w:spacing w:line="4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第五步：故障原因分析后可进行系统恢复原状，恢复时要确保不影响正常的短信节点业务。</w:t>
            </w:r>
          </w:p>
        </w:tc>
      </w:tr>
    </w:tbl>
    <w:p w14:paraId="3516A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五、相关单位联系方式</w:t>
      </w:r>
    </w:p>
    <w:p w14:paraId="7C5AD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（一）交通运输厅</w:t>
      </w:r>
    </w:p>
    <w:p w14:paraId="24CEE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厅建管处：028-85525246  厅公路局：028-85575898</w:t>
      </w:r>
    </w:p>
    <w:p w14:paraId="081C9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省航务海事中心：028-85525767</w:t>
      </w:r>
    </w:p>
    <w:p w14:paraId="311AE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（二）省交易中心</w:t>
      </w:r>
    </w:p>
    <w:p w14:paraId="6D83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受理处：028-86937573  评审处：028-86932031</w:t>
      </w:r>
    </w:p>
    <w:p w14:paraId="67829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组织处：028-86935066  监督处：028-86910980</w:t>
      </w:r>
    </w:p>
    <w:p w14:paraId="4E7AE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信息处：028-86955567、028-86744466</w:t>
      </w:r>
    </w:p>
    <w:p w14:paraId="77798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</w:p>
    <w:p w14:paraId="59789946">
      <w:pPr>
        <w:spacing w:line="576" w:lineRule="exact"/>
        <w:rPr>
          <w:rFonts w:hint="default" w:ascii="方正小标宋_GBK" w:hAnsi="方正小标宋_GBK" w:eastAsia="方正小标宋_GBK" w:cs="方正小标宋_GBK"/>
          <w:b/>
          <w:sz w:val="36"/>
          <w:szCs w:val="44"/>
          <w:lang w:val="en-US" w:eastAsia="zh-CN"/>
        </w:rPr>
      </w:pPr>
    </w:p>
    <w:sectPr>
      <w:headerReference r:id="rId3" w:type="default"/>
      <w:pgSz w:w="11907" w:h="16840"/>
      <w:pgMar w:top="2098" w:right="1531" w:bottom="1871" w:left="1531" w:header="851" w:footer="992" w:gutter="0"/>
      <w:cols w:space="720" w:num="1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CD19FC1-781F-405D-9579-CE418700D10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F74A2FC-4716-4E4A-85F5-424A1C8DB75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BB33CD2-9C3C-4759-83BB-F5315631C3D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F0F06FE-3423-4962-9DC9-E706BFCEFB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805A889-5FDE-470D-8866-15050D5764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2D5BA0A0-0591-4524-BB3D-1BBAE29AD5E4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EDC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zY1OTY5MWUwNzUwOTVjY2I4MmFjNTlkNDdmOTAifQ=="/>
  </w:docVars>
  <w:rsids>
    <w:rsidRoot w:val="61347FE9"/>
    <w:rsid w:val="01610D4D"/>
    <w:rsid w:val="01F07FFA"/>
    <w:rsid w:val="087846CF"/>
    <w:rsid w:val="089562B7"/>
    <w:rsid w:val="0992531D"/>
    <w:rsid w:val="0B992980"/>
    <w:rsid w:val="0C8F1FE8"/>
    <w:rsid w:val="0D38401B"/>
    <w:rsid w:val="0D5154EF"/>
    <w:rsid w:val="0E3427F1"/>
    <w:rsid w:val="0E822E04"/>
    <w:rsid w:val="0E9B2EC6"/>
    <w:rsid w:val="0EFF16A6"/>
    <w:rsid w:val="0F4D5ADB"/>
    <w:rsid w:val="0FE744A7"/>
    <w:rsid w:val="11AE2F10"/>
    <w:rsid w:val="1209354C"/>
    <w:rsid w:val="130D010A"/>
    <w:rsid w:val="13FC61B5"/>
    <w:rsid w:val="14026E7B"/>
    <w:rsid w:val="144237E9"/>
    <w:rsid w:val="14A64AEC"/>
    <w:rsid w:val="1514495F"/>
    <w:rsid w:val="15C01464"/>
    <w:rsid w:val="160F33E6"/>
    <w:rsid w:val="169D5074"/>
    <w:rsid w:val="16DA0303"/>
    <w:rsid w:val="17E23913"/>
    <w:rsid w:val="18402C88"/>
    <w:rsid w:val="19EF2318"/>
    <w:rsid w:val="1A045DC3"/>
    <w:rsid w:val="1CA92C52"/>
    <w:rsid w:val="1F542C13"/>
    <w:rsid w:val="200C25FC"/>
    <w:rsid w:val="202820DF"/>
    <w:rsid w:val="20CA3A7E"/>
    <w:rsid w:val="23977CA8"/>
    <w:rsid w:val="23C5745A"/>
    <w:rsid w:val="249112E2"/>
    <w:rsid w:val="25334862"/>
    <w:rsid w:val="262D74E4"/>
    <w:rsid w:val="271650A3"/>
    <w:rsid w:val="27174C5C"/>
    <w:rsid w:val="2A187669"/>
    <w:rsid w:val="2A6356F0"/>
    <w:rsid w:val="2B2838DB"/>
    <w:rsid w:val="2B570820"/>
    <w:rsid w:val="2BA967CA"/>
    <w:rsid w:val="2C214FF2"/>
    <w:rsid w:val="2D713318"/>
    <w:rsid w:val="2D751E33"/>
    <w:rsid w:val="2DB80F46"/>
    <w:rsid w:val="311726FC"/>
    <w:rsid w:val="31F05DD6"/>
    <w:rsid w:val="329306C4"/>
    <w:rsid w:val="33A51F6D"/>
    <w:rsid w:val="36B42A2D"/>
    <w:rsid w:val="37013002"/>
    <w:rsid w:val="37647A49"/>
    <w:rsid w:val="378400EB"/>
    <w:rsid w:val="38451629"/>
    <w:rsid w:val="393C29A2"/>
    <w:rsid w:val="395A1104"/>
    <w:rsid w:val="3A726E4E"/>
    <w:rsid w:val="3B262612"/>
    <w:rsid w:val="3B3C1655"/>
    <w:rsid w:val="3C406CD7"/>
    <w:rsid w:val="3E287A22"/>
    <w:rsid w:val="3F680365"/>
    <w:rsid w:val="403A5318"/>
    <w:rsid w:val="421307E0"/>
    <w:rsid w:val="43B458B4"/>
    <w:rsid w:val="43F676FA"/>
    <w:rsid w:val="44716598"/>
    <w:rsid w:val="477B6335"/>
    <w:rsid w:val="483B6AD1"/>
    <w:rsid w:val="49D46CB0"/>
    <w:rsid w:val="4C5A5794"/>
    <w:rsid w:val="4C800758"/>
    <w:rsid w:val="4CDF5113"/>
    <w:rsid w:val="4E52248E"/>
    <w:rsid w:val="4EF32DDB"/>
    <w:rsid w:val="4FCE4997"/>
    <w:rsid w:val="50146059"/>
    <w:rsid w:val="51AC0980"/>
    <w:rsid w:val="528D20F2"/>
    <w:rsid w:val="535A2D6A"/>
    <w:rsid w:val="54147A7B"/>
    <w:rsid w:val="54C40185"/>
    <w:rsid w:val="54FC530D"/>
    <w:rsid w:val="55524F2D"/>
    <w:rsid w:val="57284168"/>
    <w:rsid w:val="594352B9"/>
    <w:rsid w:val="59FA6754"/>
    <w:rsid w:val="5A570E97"/>
    <w:rsid w:val="5B975D90"/>
    <w:rsid w:val="5C953341"/>
    <w:rsid w:val="5EB66D32"/>
    <w:rsid w:val="60924A0D"/>
    <w:rsid w:val="61347FE9"/>
    <w:rsid w:val="63721DC4"/>
    <w:rsid w:val="64497E59"/>
    <w:rsid w:val="66650F64"/>
    <w:rsid w:val="666D1BC7"/>
    <w:rsid w:val="66F145A6"/>
    <w:rsid w:val="68C74A62"/>
    <w:rsid w:val="698519E9"/>
    <w:rsid w:val="6B6F28BC"/>
    <w:rsid w:val="6C4264DF"/>
    <w:rsid w:val="6C541327"/>
    <w:rsid w:val="6D093912"/>
    <w:rsid w:val="6E934195"/>
    <w:rsid w:val="6EA60822"/>
    <w:rsid w:val="70267D18"/>
    <w:rsid w:val="729E1263"/>
    <w:rsid w:val="72BD7A32"/>
    <w:rsid w:val="72E00617"/>
    <w:rsid w:val="732B0E40"/>
    <w:rsid w:val="73710806"/>
    <w:rsid w:val="764B747C"/>
    <w:rsid w:val="772C33D8"/>
    <w:rsid w:val="77BD521C"/>
    <w:rsid w:val="78342545"/>
    <w:rsid w:val="79F44681"/>
    <w:rsid w:val="7A2B1065"/>
    <w:rsid w:val="7ADF3D00"/>
    <w:rsid w:val="7B024B7C"/>
    <w:rsid w:val="7DBD122E"/>
    <w:rsid w:val="7EAA7049"/>
    <w:rsid w:val="7EEB3B79"/>
    <w:rsid w:val="E3BFD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5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8">
    <w:name w:val="KPI L3"/>
    <w:basedOn w:val="1"/>
    <w:qFormat/>
    <w:uiPriority w:val="0"/>
    <w:pPr>
      <w:widowControl/>
      <w:tabs>
        <w:tab w:val="left" w:pos="312"/>
        <w:tab w:val="left" w:pos="432"/>
        <w:tab w:val="left" w:pos="1002"/>
      </w:tabs>
      <w:spacing w:before="120" w:after="120" w:line="360" w:lineRule="auto"/>
      <w:jc w:val="left"/>
      <w:outlineLvl w:val="2"/>
    </w:pPr>
    <w:rPr>
      <w:rFonts w:ascii="Arial" w:hAnsi="Arial"/>
      <w:b/>
      <w:spacing w:val="6"/>
      <w:sz w:val="24"/>
      <w:szCs w:val="24"/>
    </w:rPr>
  </w:style>
  <w:style w:type="paragraph" w:customStyle="1" w:styleId="9">
    <w:name w:val="KPI L4"/>
    <w:basedOn w:val="8"/>
    <w:qFormat/>
    <w:uiPriority w:val="0"/>
    <w:pPr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3309</Words>
  <Characters>3419</Characters>
  <Lines>0</Lines>
  <Paragraphs>0</Paragraphs>
  <TotalTime>21</TotalTime>
  <ScaleCrop>false</ScaleCrop>
  <LinksUpToDate>false</LinksUpToDate>
  <CharactersWithSpaces>3427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2022-09-26T08:48:00Z</dcterms:created>
  <dc:creator>妖精蝌蚪</dc:creator>
  <cp:lastModifiedBy>唐晓婷</cp:lastModifiedBy>
  <cp:lastPrinted>2024-07-08T03:12:00Z</cp:lastPrinted>
  <dcterms:modified xsi:type="dcterms:W3CDTF">2024-08-22T02:39:38Z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53BFAAF5364E47C4866149820D5109E2_13</vt:lpwstr>
  </property>
</Properties>
</file>