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C9A34">
      <w:pPr>
        <w:spacing w:line="576" w:lineRule="exact"/>
        <w:rPr>
          <w:rFonts w:hint="eastAsia" w:eastAsia="方正小标宋_GBK"/>
          <w:sz w:val="44"/>
          <w:szCs w:val="44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</w:p>
    <w:p w14:paraId="03244626">
      <w:pPr>
        <w:spacing w:line="576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四川省</w:t>
      </w:r>
      <w:r>
        <w:rPr>
          <w:rFonts w:hint="eastAsia" w:eastAsia="方正小标宋_GBK"/>
          <w:sz w:val="44"/>
          <w:szCs w:val="44"/>
        </w:rPr>
        <w:t>公路水运建设工程电子招投标系统</w:t>
      </w:r>
    </w:p>
    <w:p w14:paraId="5FCBFC89">
      <w:pPr>
        <w:spacing w:line="576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建设和运行保障工作机制</w:t>
      </w:r>
    </w:p>
    <w:p w14:paraId="235A13B4">
      <w:pPr>
        <w:spacing w:line="576" w:lineRule="exact"/>
        <w:jc w:val="center"/>
        <w:rPr>
          <w:rFonts w:eastAsia="方正小标宋简体"/>
          <w:b/>
          <w:bCs/>
          <w:sz w:val="44"/>
          <w:szCs w:val="44"/>
        </w:rPr>
      </w:pPr>
    </w:p>
    <w:p w14:paraId="28A2DBC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由</w:t>
      </w:r>
      <w:r>
        <w:rPr>
          <w:rFonts w:hint="eastAsia" w:eastAsia="仿宋_GB2312"/>
          <w:sz w:val="32"/>
          <w:szCs w:val="32"/>
        </w:rPr>
        <w:t>四川省政府政务服务和公共资源交易服务中心（以下简称“</w:t>
      </w:r>
      <w:r>
        <w:rPr>
          <w:rFonts w:hint="eastAsia" w:eastAsia="仿宋_GB2312"/>
          <w:color w:val="auto"/>
          <w:sz w:val="32"/>
          <w:szCs w:val="32"/>
        </w:rPr>
        <w:t>省交易中心”）与四川省交通运输厅（以下简称“交通运输厅”）共同开发的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公路、水运工程（包括</w:t>
      </w:r>
      <w:r>
        <w:rPr>
          <w:rFonts w:hint="eastAsia" w:eastAsia="仿宋_GB2312"/>
          <w:color w:val="auto"/>
          <w:sz w:val="32"/>
          <w:szCs w:val="32"/>
        </w:rPr>
        <w:t>高速公路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</w:rPr>
        <w:t>普通公路和水运建设工程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eastAsia="仿宋_GB2312"/>
          <w:color w:val="auto"/>
          <w:sz w:val="32"/>
          <w:szCs w:val="32"/>
        </w:rPr>
        <w:t>电子招标投标系统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计划在2024</w:t>
      </w:r>
      <w:r>
        <w:rPr>
          <w:rFonts w:hint="eastAsia" w:eastAsia="仿宋_GB2312"/>
          <w:color w:val="auto"/>
          <w:sz w:val="32"/>
          <w:szCs w:val="32"/>
        </w:rPr>
        <w:t>年底全部完成，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eastAsia="仿宋_GB2312"/>
          <w:color w:val="auto"/>
          <w:sz w:val="32"/>
          <w:szCs w:val="32"/>
        </w:rPr>
        <w:t>上线运行。为保证公路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</w:rPr>
        <w:t>水运工程电子招标投标系统建设、运行各项工作的有序、正常开展，快速、高效解决系统建设和运行中的问题，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逐步完善和提高系统运行效果，</w:t>
      </w:r>
      <w:r>
        <w:rPr>
          <w:rFonts w:hint="eastAsia" w:eastAsia="仿宋_GB2312"/>
          <w:color w:val="auto"/>
          <w:sz w:val="32"/>
          <w:szCs w:val="32"/>
        </w:rPr>
        <w:t>建立如下保障工作机制。</w:t>
      </w:r>
    </w:p>
    <w:p w14:paraId="3D488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一、协同配合机制。</w:t>
      </w:r>
      <w:r>
        <w:rPr>
          <w:rFonts w:hint="eastAsia" w:eastAsia="仿宋_GB2312"/>
          <w:color w:val="auto"/>
          <w:sz w:val="32"/>
          <w:szCs w:val="32"/>
        </w:rPr>
        <w:t>电子招投标系统由省交易中心、交通运输厅共同建设，省交易中心负责系统的开发建设和运维，交通运输厅负责公路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</w:rPr>
        <w:t>水运工程电子招标标准文件（以下简称“电子招标标准文件”）的编制和维护。交通运输厅在印发电子招标标准文件前应征求省交易中心意见；省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交易</w:t>
      </w:r>
      <w:r>
        <w:rPr>
          <w:rFonts w:hint="eastAsia" w:eastAsia="仿宋_GB2312"/>
          <w:color w:val="auto"/>
          <w:sz w:val="32"/>
          <w:szCs w:val="32"/>
        </w:rPr>
        <w:t>中心在电子招投标系统开发前，应全面充分了解公路、水运建设招标投标监督管理的需求，实现招投标信息、信用信息共享，适应公路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</w:rPr>
        <w:t>水运建设市场信息化的需要。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为保障电子招投标系统有序上线且稳定运行，</w:t>
      </w:r>
      <w:r>
        <w:rPr>
          <w:rFonts w:hint="eastAsia" w:eastAsia="仿宋_GB2312"/>
          <w:color w:val="auto"/>
          <w:sz w:val="32"/>
          <w:szCs w:val="32"/>
        </w:rPr>
        <w:t>系统上线运行前，交通运输厅牵头，会同省交易中心，组织系统开发单位、标准文件编制单位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招标人、投标人</w:t>
      </w:r>
      <w:r>
        <w:rPr>
          <w:rFonts w:hint="eastAsia" w:eastAsia="仿宋_GB2312"/>
          <w:color w:val="auto"/>
          <w:sz w:val="32"/>
          <w:szCs w:val="32"/>
        </w:rPr>
        <w:t>等开展模拟测试，根据测试情况进一步完善标准文件和系统功能建设，确保系统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顺利</w:t>
      </w:r>
      <w:r>
        <w:rPr>
          <w:rFonts w:hint="eastAsia" w:eastAsia="仿宋_GB2312"/>
          <w:color w:val="auto"/>
          <w:sz w:val="32"/>
          <w:szCs w:val="32"/>
        </w:rPr>
        <w:t>上</w:t>
      </w:r>
      <w:r>
        <w:rPr>
          <w:rFonts w:hint="eastAsia" w:eastAsia="仿宋_GB2312"/>
          <w:sz w:val="32"/>
          <w:szCs w:val="32"/>
        </w:rPr>
        <w:t>线运行。</w:t>
      </w:r>
    </w:p>
    <w:p w14:paraId="1FAD3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二、联合发布机制。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为保障电子招投标系统上线运行工作有序推进，电子招投标系统上线运行时间应安排在电子招标标准文件发布后，</w:t>
      </w:r>
      <w:r>
        <w:rPr>
          <w:rFonts w:hint="eastAsia" w:eastAsia="仿宋_GB2312"/>
          <w:sz w:val="32"/>
          <w:szCs w:val="32"/>
        </w:rPr>
        <w:t>系统上线运行通知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eastAsia="仿宋_GB2312"/>
          <w:color w:val="auto"/>
          <w:sz w:val="32"/>
          <w:szCs w:val="32"/>
        </w:rPr>
        <w:t>省交易中心和交通运输厅</w:t>
      </w:r>
      <w:r>
        <w:rPr>
          <w:rFonts w:hint="eastAsia" w:eastAsia="仿宋_GB2312"/>
          <w:sz w:val="32"/>
          <w:szCs w:val="32"/>
        </w:rPr>
        <w:t>联合发布。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电子招投标</w:t>
      </w:r>
      <w:r>
        <w:rPr>
          <w:rFonts w:hint="eastAsia" w:eastAsia="仿宋_GB2312"/>
          <w:sz w:val="32"/>
          <w:szCs w:val="32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正式上线运行通知发布前，电子招投标系统不对外界开放。</w:t>
      </w:r>
    </w:p>
    <w:p w14:paraId="43F11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</w:rPr>
        <w:t>三、会商解决机制。</w:t>
      </w:r>
      <w:r>
        <w:rPr>
          <w:rFonts w:hint="eastAsia" w:eastAsia="仿宋_GB2312"/>
          <w:color w:val="auto"/>
          <w:sz w:val="32"/>
          <w:szCs w:val="32"/>
          <w:highlight w:val="none"/>
        </w:rPr>
        <w:t>电子招投标系统上线运行中发现问题，交通运输厅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eastAsia" w:eastAsia="仿宋_GB2312"/>
          <w:color w:val="auto"/>
          <w:sz w:val="32"/>
          <w:szCs w:val="32"/>
          <w:highlight w:val="none"/>
        </w:rPr>
        <w:t>省交易中心双方会商，共同研究解决。属于电子招标标准文件的问题，由交通运输厅牵头解决，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提出解决方案和系统修改需求，</w:t>
      </w:r>
      <w:r>
        <w:rPr>
          <w:rFonts w:hint="eastAsia" w:eastAsia="仿宋_GB2312"/>
          <w:color w:val="auto"/>
          <w:sz w:val="32"/>
          <w:szCs w:val="32"/>
          <w:highlight w:val="none"/>
        </w:rPr>
        <w:t>省交易中心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按照修改需求完成系统修改</w:t>
      </w:r>
      <w:r>
        <w:rPr>
          <w:rFonts w:hint="eastAsia" w:eastAsia="仿宋_GB2312"/>
          <w:color w:val="auto"/>
          <w:sz w:val="32"/>
          <w:szCs w:val="32"/>
          <w:highlight w:val="none"/>
        </w:rPr>
        <w:t>；属于电子招投标系统的问题，由省交易中心牵头解决，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并提供有关问题的说明，</w:t>
      </w:r>
      <w:r>
        <w:rPr>
          <w:rFonts w:hint="eastAsia" w:eastAsia="仿宋_GB2312"/>
          <w:color w:val="auto"/>
          <w:sz w:val="32"/>
          <w:szCs w:val="32"/>
          <w:highlight w:val="none"/>
        </w:rPr>
        <w:t>交通运输厅配合。</w:t>
      </w:r>
    </w:p>
    <w:p w14:paraId="1884A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四、信息交换机制。</w:t>
      </w:r>
      <w:r>
        <w:rPr>
          <w:rFonts w:hint="eastAsia" w:eastAsia="仿宋_GB2312"/>
          <w:color w:val="auto"/>
          <w:sz w:val="32"/>
          <w:szCs w:val="32"/>
          <w:highlight w:val="none"/>
        </w:rPr>
        <w:t>电子招标标准文件印发后，以及电子招投标系统上线运行后，涉及电子招标标准文件修改或系统调整等问题，双方均须通过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函件</w:t>
      </w:r>
      <w:r>
        <w:rPr>
          <w:rFonts w:hint="eastAsia" w:eastAsia="仿宋_GB2312"/>
          <w:color w:val="auto"/>
          <w:sz w:val="32"/>
          <w:szCs w:val="32"/>
          <w:highlight w:val="none"/>
        </w:rPr>
        <w:t>或《四川省公路水运工程电子招标标准文件及电子招投标系统修改信息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流转</w:t>
      </w:r>
      <w:r>
        <w:rPr>
          <w:rFonts w:hint="eastAsia" w:eastAsia="仿宋_GB2312"/>
          <w:color w:val="auto"/>
          <w:sz w:val="32"/>
          <w:szCs w:val="32"/>
          <w:highlight w:val="none"/>
        </w:rPr>
        <w:t>表》（以下简称《信息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流转</w:t>
      </w:r>
      <w:r>
        <w:rPr>
          <w:rFonts w:hint="eastAsia" w:eastAsia="仿宋_GB2312"/>
          <w:color w:val="auto"/>
          <w:sz w:val="32"/>
          <w:szCs w:val="32"/>
          <w:highlight w:val="none"/>
        </w:rPr>
        <w:t>表》）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进行修改信息流转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需求发起方将函件或</w:t>
      </w:r>
      <w:r>
        <w:rPr>
          <w:rFonts w:hint="eastAsia" w:eastAsia="仿宋_GB2312"/>
          <w:color w:val="auto"/>
          <w:sz w:val="32"/>
          <w:szCs w:val="32"/>
          <w:highlight w:val="none"/>
        </w:rPr>
        <w:t>《信息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流转</w:t>
      </w:r>
      <w:r>
        <w:rPr>
          <w:rFonts w:hint="eastAsia" w:eastAsia="仿宋_GB2312"/>
          <w:color w:val="auto"/>
          <w:sz w:val="32"/>
          <w:szCs w:val="32"/>
          <w:highlight w:val="none"/>
        </w:rPr>
        <w:t>表》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流转至对方总协调员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总协调员召集双方相关人员讨论确定系统修改详细需求点，并签字确认，完成修改上线后，由总协调员签字确认《</w:t>
      </w:r>
      <w:r>
        <w:rPr>
          <w:rFonts w:hint="eastAsia" w:eastAsia="仿宋_GB2312"/>
          <w:color w:val="auto"/>
          <w:sz w:val="32"/>
          <w:szCs w:val="32"/>
          <w:highlight w:val="none"/>
        </w:rPr>
        <w:t>信息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流转</w:t>
      </w:r>
      <w:r>
        <w:rPr>
          <w:rFonts w:hint="eastAsia" w:eastAsia="仿宋_GB2312"/>
          <w:color w:val="auto"/>
          <w:sz w:val="32"/>
          <w:szCs w:val="32"/>
          <w:highlight w:val="none"/>
        </w:rPr>
        <w:t>表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》（附需求修改单和修改完成证明材料等）后流转至需求发起方，双方对系统修改完善情况进行登记管理。</w:t>
      </w:r>
    </w:p>
    <w:p w14:paraId="51215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五、应急处置机制。</w:t>
      </w:r>
      <w:r>
        <w:rPr>
          <w:rFonts w:hint="eastAsia" w:eastAsia="仿宋_GB2312"/>
          <w:sz w:val="32"/>
          <w:szCs w:val="32"/>
        </w:rPr>
        <w:t>建立电子招投标应急处理机制和应急处理预案，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省交易中心和交通运输厅</w:t>
      </w:r>
      <w:r>
        <w:rPr>
          <w:rFonts w:hint="eastAsia" w:eastAsia="仿宋_GB2312"/>
          <w:color w:val="auto"/>
          <w:sz w:val="32"/>
          <w:szCs w:val="32"/>
        </w:rPr>
        <w:t>双方分别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设置</w:t>
      </w:r>
      <w:r>
        <w:rPr>
          <w:rFonts w:hint="eastAsia" w:eastAsia="仿宋_GB2312"/>
          <w:color w:val="auto"/>
          <w:sz w:val="32"/>
          <w:szCs w:val="32"/>
        </w:rPr>
        <w:t>总</w:t>
      </w:r>
      <w:r>
        <w:rPr>
          <w:rFonts w:hint="eastAsia" w:eastAsia="仿宋_GB2312"/>
          <w:color w:val="auto"/>
          <w:sz w:val="32"/>
          <w:szCs w:val="32"/>
          <w:lang w:eastAsia="zh-CN"/>
        </w:rPr>
        <w:t>协调员</w:t>
      </w:r>
      <w:r>
        <w:rPr>
          <w:rFonts w:hint="eastAsia" w:eastAsia="仿宋_GB2312"/>
          <w:color w:val="auto"/>
          <w:sz w:val="32"/>
          <w:szCs w:val="32"/>
        </w:rPr>
        <w:t>，并指定一名工作人员为联络员，需向部门或单位领导汇报，或协调本单位其他部门的，由总</w:t>
      </w:r>
      <w:r>
        <w:rPr>
          <w:rFonts w:hint="eastAsia" w:eastAsia="仿宋_GB2312"/>
          <w:color w:val="auto"/>
          <w:sz w:val="32"/>
          <w:szCs w:val="32"/>
          <w:lang w:eastAsia="zh-CN"/>
        </w:rPr>
        <w:t>协调员</w:t>
      </w:r>
      <w:r>
        <w:rPr>
          <w:rFonts w:hint="eastAsia" w:eastAsia="仿宋_GB2312"/>
          <w:color w:val="auto"/>
          <w:sz w:val="32"/>
          <w:szCs w:val="32"/>
        </w:rPr>
        <w:t>各自分别协调解决。</w:t>
      </w:r>
    </w:p>
    <w:p w14:paraId="52AEB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招标人（招标代理机构）或投标人在使用电子招投标系统编制招标文件或投标文件、开评标过程中，如发现标准文件或电子招投标系统存在问题，请及时联系交通运输厅或省交易中心进行处理。</w:t>
      </w:r>
    </w:p>
    <w:p w14:paraId="30DFC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textAlignment w:val="auto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六、总结反馈机制。</w:t>
      </w:r>
      <w:r>
        <w:rPr>
          <w:rFonts w:hint="eastAsia" w:eastAsia="仿宋_GB2312"/>
          <w:color w:val="auto"/>
          <w:sz w:val="32"/>
          <w:szCs w:val="32"/>
        </w:rPr>
        <w:t>各单位应组织做好标准文件和系统运行问题、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招标人（招标代理机构）或投标人</w:t>
      </w:r>
      <w:r>
        <w:rPr>
          <w:rFonts w:hint="eastAsia" w:eastAsia="仿宋_GB2312"/>
          <w:color w:val="auto"/>
          <w:sz w:val="32"/>
          <w:szCs w:val="32"/>
        </w:rPr>
        <w:t>对系统使用需求的收集和整理工作，原则上每年至少组织一次对有关问题的研究和讨</w:t>
      </w:r>
      <w:r>
        <w:rPr>
          <w:rFonts w:hint="eastAsia" w:eastAsia="仿宋_GB2312"/>
          <w:sz w:val="32"/>
          <w:szCs w:val="32"/>
        </w:rPr>
        <w:t>论，并对标准文件和系统进行完善。需要及时处理的，按上述机制及时进行处理。</w:t>
      </w:r>
    </w:p>
    <w:p w14:paraId="333A8B04">
      <w:pPr>
        <w:spacing w:line="576" w:lineRule="exact"/>
        <w:rPr>
          <w:rFonts w:hint="eastAsia" w:eastAsia="仿宋_GB2312"/>
          <w:sz w:val="32"/>
          <w:szCs w:val="32"/>
        </w:rPr>
      </w:pPr>
    </w:p>
    <w:p w14:paraId="1BA2B762">
      <w:pPr>
        <w:spacing w:line="576" w:lineRule="exact"/>
        <w:rPr>
          <w:rFonts w:hint="eastAsia" w:eastAsia="仿宋_GB2312"/>
          <w:sz w:val="32"/>
          <w:szCs w:val="32"/>
        </w:rPr>
      </w:pPr>
    </w:p>
    <w:p w14:paraId="59789946">
      <w:pPr>
        <w:spacing w:line="576" w:lineRule="exact"/>
        <w:rPr>
          <w:rFonts w:hint="default" w:ascii="方正小标宋_GBK" w:hAnsi="方正小标宋_GBK" w:eastAsia="方正小标宋_GBK" w:cs="方正小标宋_GBK"/>
          <w:b/>
          <w:sz w:val="36"/>
          <w:szCs w:val="44"/>
          <w:lang w:val="en-US" w:eastAsia="zh-CN"/>
        </w:rPr>
      </w:pPr>
      <w:bookmarkStart w:id="0" w:name="_GoBack"/>
      <w:bookmarkEnd w:id="0"/>
    </w:p>
    <w:sectPr>
      <w:headerReference r:id="rId3" w:type="default"/>
      <w:pgSz w:w="11907" w:h="16840"/>
      <w:pgMar w:top="2098" w:right="1531" w:bottom="1871" w:left="1531" w:header="851" w:footer="992" w:gutter="0"/>
      <w:cols w:space="720" w:num="1"/>
      <w:docGrid w:type="linesAndChars"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DA35D0-9C7D-416E-BFE3-907EC8682F3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614E904-8473-4391-9B1B-CE770BD3502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9A0268E-5F51-4B65-9D44-D648F421887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3AC3840-3F1C-4BB2-9660-C6C2AA10868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4EDC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MzY1OTY5MWUwNzUwOTVjY2I4MmFjNTlkNDdmOTAifQ=="/>
  </w:docVars>
  <w:rsids>
    <w:rsidRoot w:val="61347FE9"/>
    <w:rsid w:val="01610D4D"/>
    <w:rsid w:val="01F07FFA"/>
    <w:rsid w:val="087846CF"/>
    <w:rsid w:val="089562B7"/>
    <w:rsid w:val="0992531D"/>
    <w:rsid w:val="0B992980"/>
    <w:rsid w:val="0C8F1FE8"/>
    <w:rsid w:val="0D38401B"/>
    <w:rsid w:val="0D5154EF"/>
    <w:rsid w:val="0E3427F1"/>
    <w:rsid w:val="0E9B2EC6"/>
    <w:rsid w:val="0EFF16A6"/>
    <w:rsid w:val="0F4D5ADB"/>
    <w:rsid w:val="0FE744A7"/>
    <w:rsid w:val="11A13932"/>
    <w:rsid w:val="11AE2F10"/>
    <w:rsid w:val="1209354C"/>
    <w:rsid w:val="130D010A"/>
    <w:rsid w:val="13ED7584"/>
    <w:rsid w:val="13FC61B5"/>
    <w:rsid w:val="14026E7B"/>
    <w:rsid w:val="144237E9"/>
    <w:rsid w:val="14A64AEC"/>
    <w:rsid w:val="1514495F"/>
    <w:rsid w:val="15C01464"/>
    <w:rsid w:val="160F33E6"/>
    <w:rsid w:val="169D5074"/>
    <w:rsid w:val="16DA0303"/>
    <w:rsid w:val="17E23913"/>
    <w:rsid w:val="18402C88"/>
    <w:rsid w:val="19EF2318"/>
    <w:rsid w:val="1A045DC3"/>
    <w:rsid w:val="1CA92C52"/>
    <w:rsid w:val="1F542C13"/>
    <w:rsid w:val="200C25FC"/>
    <w:rsid w:val="202820DF"/>
    <w:rsid w:val="20CA3A7E"/>
    <w:rsid w:val="23977CA8"/>
    <w:rsid w:val="249112E2"/>
    <w:rsid w:val="25334862"/>
    <w:rsid w:val="262D74E4"/>
    <w:rsid w:val="27174C5C"/>
    <w:rsid w:val="2A187669"/>
    <w:rsid w:val="2A6356F0"/>
    <w:rsid w:val="2B2838DB"/>
    <w:rsid w:val="2B570820"/>
    <w:rsid w:val="2BA967CA"/>
    <w:rsid w:val="2C214FF2"/>
    <w:rsid w:val="2D713318"/>
    <w:rsid w:val="2D751E33"/>
    <w:rsid w:val="2DB80F46"/>
    <w:rsid w:val="311726FC"/>
    <w:rsid w:val="31F05DD6"/>
    <w:rsid w:val="329306C4"/>
    <w:rsid w:val="33A51F6D"/>
    <w:rsid w:val="36B42A2D"/>
    <w:rsid w:val="37013002"/>
    <w:rsid w:val="37647A49"/>
    <w:rsid w:val="378400EB"/>
    <w:rsid w:val="38451629"/>
    <w:rsid w:val="393C29A2"/>
    <w:rsid w:val="395A1104"/>
    <w:rsid w:val="3A726E4E"/>
    <w:rsid w:val="3B262612"/>
    <w:rsid w:val="3B3C1655"/>
    <w:rsid w:val="3C406CD7"/>
    <w:rsid w:val="3E287A22"/>
    <w:rsid w:val="3F680365"/>
    <w:rsid w:val="403A5318"/>
    <w:rsid w:val="421307E0"/>
    <w:rsid w:val="43B458B4"/>
    <w:rsid w:val="43F676FA"/>
    <w:rsid w:val="44716598"/>
    <w:rsid w:val="477B6335"/>
    <w:rsid w:val="483B6AD1"/>
    <w:rsid w:val="49D46CB0"/>
    <w:rsid w:val="4C5A5794"/>
    <w:rsid w:val="4C800758"/>
    <w:rsid w:val="4CDF5113"/>
    <w:rsid w:val="4E52248E"/>
    <w:rsid w:val="4EF32DDB"/>
    <w:rsid w:val="4FCE4997"/>
    <w:rsid w:val="50146059"/>
    <w:rsid w:val="528D20F2"/>
    <w:rsid w:val="535A2D6A"/>
    <w:rsid w:val="54147A7B"/>
    <w:rsid w:val="54C40185"/>
    <w:rsid w:val="54FC530D"/>
    <w:rsid w:val="55524F2D"/>
    <w:rsid w:val="57284168"/>
    <w:rsid w:val="594352B9"/>
    <w:rsid w:val="59FA6754"/>
    <w:rsid w:val="5A570E97"/>
    <w:rsid w:val="5B975D90"/>
    <w:rsid w:val="5C953341"/>
    <w:rsid w:val="5EB66D32"/>
    <w:rsid w:val="60924A0D"/>
    <w:rsid w:val="61347FE9"/>
    <w:rsid w:val="63721DC4"/>
    <w:rsid w:val="64497E59"/>
    <w:rsid w:val="66650F64"/>
    <w:rsid w:val="666D1BC7"/>
    <w:rsid w:val="66F145A6"/>
    <w:rsid w:val="68C74A62"/>
    <w:rsid w:val="698519E9"/>
    <w:rsid w:val="6B6F28BC"/>
    <w:rsid w:val="6C4264DF"/>
    <w:rsid w:val="6C541327"/>
    <w:rsid w:val="6D093912"/>
    <w:rsid w:val="6E934195"/>
    <w:rsid w:val="6EA60822"/>
    <w:rsid w:val="70267D18"/>
    <w:rsid w:val="729E1263"/>
    <w:rsid w:val="72BD7A32"/>
    <w:rsid w:val="72E00617"/>
    <w:rsid w:val="732B0E40"/>
    <w:rsid w:val="73710806"/>
    <w:rsid w:val="764B747C"/>
    <w:rsid w:val="772C33D8"/>
    <w:rsid w:val="77BD521C"/>
    <w:rsid w:val="78342545"/>
    <w:rsid w:val="79F44681"/>
    <w:rsid w:val="7A2B1065"/>
    <w:rsid w:val="7ADF3D00"/>
    <w:rsid w:val="7B024B7C"/>
    <w:rsid w:val="7DBD122E"/>
    <w:rsid w:val="7EAA7049"/>
    <w:rsid w:val="7EEB3B79"/>
    <w:rsid w:val="E3BFD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5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8">
    <w:name w:val="KPI L3"/>
    <w:basedOn w:val="1"/>
    <w:qFormat/>
    <w:uiPriority w:val="0"/>
    <w:pPr>
      <w:widowControl/>
      <w:tabs>
        <w:tab w:val="left" w:pos="312"/>
        <w:tab w:val="left" w:pos="432"/>
        <w:tab w:val="left" w:pos="1002"/>
      </w:tabs>
      <w:spacing w:before="120" w:after="120" w:line="360" w:lineRule="auto"/>
      <w:jc w:val="left"/>
      <w:outlineLvl w:val="2"/>
    </w:pPr>
    <w:rPr>
      <w:rFonts w:ascii="Arial" w:hAnsi="Arial"/>
      <w:b/>
      <w:spacing w:val="6"/>
      <w:sz w:val="24"/>
      <w:szCs w:val="24"/>
    </w:rPr>
  </w:style>
  <w:style w:type="paragraph" w:customStyle="1" w:styleId="9">
    <w:name w:val="KPI L4"/>
    <w:basedOn w:val="8"/>
    <w:qFormat/>
    <w:uiPriority w:val="0"/>
    <w:pPr>
      <w:outlineLvl w:val="3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1358</Words>
  <Characters>1361</Characters>
  <Lines>0</Lines>
  <Paragraphs>0</Paragraphs>
  <TotalTime>14</TotalTime>
  <ScaleCrop>false</ScaleCrop>
  <LinksUpToDate>false</LinksUpToDate>
  <CharactersWithSpaces>1361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2022-09-26T08:48:00Z</dcterms:created>
  <dc:creator>妖精蝌蚪</dc:creator>
  <cp:lastModifiedBy>唐晓婷</cp:lastModifiedBy>
  <cp:lastPrinted>2024-07-08T03:12:00Z</cp:lastPrinted>
  <dcterms:modified xsi:type="dcterms:W3CDTF">2024-08-08T03:35:51Z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53BFAAF5364E47C4866149820D5109E2_13</vt:lpwstr>
  </property>
</Properties>
</file>