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F64E">
      <w:pPr>
        <w:widowControl/>
        <w:tabs>
          <w:tab w:val="left" w:pos="1167"/>
        </w:tabs>
        <w:suppressAutoHyphens/>
        <w:bidi w:val="0"/>
        <w:adjustRightInd w:val="0"/>
        <w:snapToGrid w:val="0"/>
        <w:spacing w:line="560" w:lineRule="exact"/>
        <w:jc w:val="both"/>
        <w:rPr>
          <w:rFonts w:hint="default" w:ascii="Times New Roman" w:hAnsi="Times New Roman" w:eastAsia="黑体" w:cs="Times New Roman"/>
          <w:b w:val="0"/>
          <w:bCs/>
          <w:sz w:val="36"/>
          <w:szCs w:val="32"/>
        </w:rPr>
      </w:pPr>
      <w:r>
        <w:rPr>
          <w:rFonts w:hint="default" w:ascii="Times New Roman" w:hAnsi="Times New Roman" w:eastAsia="黑体" w:cs="Times New Roman"/>
          <w:b w:val="0"/>
          <w:bCs/>
          <w:sz w:val="36"/>
          <w:szCs w:val="32"/>
        </w:rPr>
        <w:t>附表</w:t>
      </w:r>
      <w:bookmarkStart w:id="4" w:name="_GoBack"/>
      <w:bookmarkEnd w:id="4"/>
    </w:p>
    <w:p w14:paraId="294A2E81">
      <w:pPr>
        <w:widowControl/>
        <w:tabs>
          <w:tab w:val="left" w:pos="1167"/>
        </w:tabs>
        <w:suppressAutoHyphens/>
        <w:bidi w:val="0"/>
        <w:adjustRightInd w:val="0"/>
        <w:snapToGrid w:val="0"/>
        <w:spacing w:line="560" w:lineRule="exact"/>
        <w:ind w:firstLine="0" w:firstLineChars="0"/>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通航建筑物运行条件</w:t>
      </w:r>
    </w:p>
    <w:tbl>
      <w:tblPr>
        <w:tblStyle w:val="3"/>
        <w:tblW w:w="14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2766"/>
        <w:gridCol w:w="1533"/>
        <w:gridCol w:w="743"/>
        <w:gridCol w:w="729"/>
        <w:gridCol w:w="944"/>
        <w:gridCol w:w="876"/>
        <w:gridCol w:w="876"/>
        <w:gridCol w:w="876"/>
        <w:gridCol w:w="876"/>
        <w:gridCol w:w="1209"/>
        <w:gridCol w:w="1528"/>
      </w:tblGrid>
      <w:tr w14:paraId="2EE4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92" w:type="dxa"/>
            <w:vMerge w:val="restart"/>
            <w:noWrap w:val="0"/>
            <w:vAlign w:val="center"/>
          </w:tcPr>
          <w:p w14:paraId="41274B8A">
            <w:pPr>
              <w:widowControl/>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枢纽名称</w:t>
            </w:r>
          </w:p>
        </w:tc>
        <w:tc>
          <w:tcPr>
            <w:tcW w:w="2766" w:type="dxa"/>
            <w:vMerge w:val="restart"/>
            <w:noWrap w:val="0"/>
            <w:vAlign w:val="center"/>
          </w:tcPr>
          <w:p w14:paraId="6BD06192">
            <w:pPr>
              <w:widowControl/>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运行单位</w:t>
            </w:r>
          </w:p>
        </w:tc>
        <w:tc>
          <w:tcPr>
            <w:tcW w:w="1533" w:type="dxa"/>
            <w:vMerge w:val="restart"/>
            <w:noWrap w:val="0"/>
            <w:vAlign w:val="center"/>
          </w:tcPr>
          <w:p w14:paraId="38B09486">
            <w:pPr>
              <w:widowControl/>
              <w:tabs>
                <w:tab w:val="left" w:pos="1167"/>
              </w:tabs>
              <w:suppressAutoHyphens/>
              <w:bidi w:val="0"/>
              <w:adjustRightInd w:val="0"/>
              <w:snapToGrid w:val="0"/>
              <w:spacing w:line="360" w:lineRule="exact"/>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过船建筑物型式/规模（吨）</w:t>
            </w:r>
          </w:p>
        </w:tc>
        <w:tc>
          <w:tcPr>
            <w:tcW w:w="2416" w:type="dxa"/>
            <w:gridSpan w:val="3"/>
            <w:noWrap w:val="0"/>
            <w:vAlign w:val="center"/>
          </w:tcPr>
          <w:p w14:paraId="373F1BB1">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bookmarkStart w:id="0" w:name="_Toc265080924"/>
            <w:bookmarkStart w:id="1" w:name="_Toc265080966"/>
            <w:bookmarkStart w:id="2" w:name="_Toc265081603"/>
            <w:bookmarkStart w:id="3" w:name="_Toc261361647"/>
            <w:r>
              <w:rPr>
                <w:rFonts w:hint="default" w:ascii="Times New Roman" w:hAnsi="Times New Roman" w:eastAsia="黑体" w:cs="Times New Roman"/>
                <w:b w:val="0"/>
                <w:bCs/>
                <w:kern w:val="0"/>
                <w:sz w:val="24"/>
              </w:rPr>
              <w:t>有效尺度（米）</w:t>
            </w:r>
            <w:bookmarkEnd w:id="0"/>
            <w:bookmarkEnd w:id="1"/>
            <w:bookmarkEnd w:id="2"/>
            <w:bookmarkEnd w:id="3"/>
          </w:p>
        </w:tc>
        <w:tc>
          <w:tcPr>
            <w:tcW w:w="1752" w:type="dxa"/>
            <w:gridSpan w:val="2"/>
            <w:noWrap w:val="0"/>
            <w:vAlign w:val="top"/>
          </w:tcPr>
          <w:p w14:paraId="6F2577A6">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最高通航</w:t>
            </w:r>
          </w:p>
          <w:p w14:paraId="6EB8F74F">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水位（米）</w:t>
            </w:r>
          </w:p>
        </w:tc>
        <w:tc>
          <w:tcPr>
            <w:tcW w:w="1752" w:type="dxa"/>
            <w:gridSpan w:val="2"/>
            <w:noWrap w:val="0"/>
            <w:vAlign w:val="top"/>
          </w:tcPr>
          <w:p w14:paraId="6DDFAD03">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最低通航</w:t>
            </w:r>
          </w:p>
          <w:p w14:paraId="2E36A435">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水位（米）</w:t>
            </w:r>
          </w:p>
        </w:tc>
        <w:tc>
          <w:tcPr>
            <w:tcW w:w="1209" w:type="dxa"/>
            <w:vMerge w:val="restart"/>
            <w:noWrap w:val="0"/>
            <w:vAlign w:val="center"/>
          </w:tcPr>
          <w:p w14:paraId="1A4887E1">
            <w:pPr>
              <w:widowControl/>
              <w:tabs>
                <w:tab w:val="left" w:pos="1167"/>
              </w:tabs>
              <w:suppressAutoHyphens/>
              <w:bidi w:val="0"/>
              <w:adjustRightInd w:val="0"/>
              <w:snapToGrid w:val="0"/>
              <w:spacing w:line="360" w:lineRule="exact"/>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最小下泄流量（m</w:t>
            </w:r>
            <w:r>
              <w:rPr>
                <w:rFonts w:hint="default" w:ascii="Times New Roman" w:hAnsi="Times New Roman" w:eastAsia="黑体" w:cs="Times New Roman"/>
                <w:b w:val="0"/>
                <w:bCs/>
                <w:kern w:val="0"/>
                <w:sz w:val="24"/>
                <w:vertAlign w:val="superscript"/>
              </w:rPr>
              <w:t>3</w:t>
            </w:r>
            <w:r>
              <w:rPr>
                <w:rFonts w:hint="default" w:ascii="Times New Roman" w:hAnsi="Times New Roman" w:eastAsia="黑体" w:cs="Times New Roman"/>
                <w:b w:val="0"/>
                <w:bCs/>
                <w:kern w:val="0"/>
                <w:sz w:val="24"/>
              </w:rPr>
              <w:t>/s）</w:t>
            </w:r>
          </w:p>
        </w:tc>
        <w:tc>
          <w:tcPr>
            <w:tcW w:w="1528" w:type="dxa"/>
            <w:vMerge w:val="restart"/>
            <w:noWrap w:val="0"/>
            <w:vAlign w:val="center"/>
          </w:tcPr>
          <w:p w14:paraId="23F4C5BA">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净空限制高度（米）</w:t>
            </w:r>
          </w:p>
        </w:tc>
      </w:tr>
      <w:tr w14:paraId="5D8F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92" w:type="dxa"/>
            <w:vMerge w:val="continue"/>
            <w:noWrap w:val="0"/>
            <w:vAlign w:val="center"/>
          </w:tcPr>
          <w:p w14:paraId="59B5112D">
            <w:pPr>
              <w:widowControl/>
              <w:tabs>
                <w:tab w:val="left" w:pos="1167"/>
              </w:tabs>
              <w:suppressAutoHyphens/>
              <w:bidi w:val="0"/>
              <w:adjustRightInd w:val="0"/>
              <w:snapToGrid w:val="0"/>
              <w:spacing w:line="360" w:lineRule="exact"/>
              <w:jc w:val="center"/>
              <w:rPr>
                <w:rFonts w:hint="default" w:ascii="Times New Roman" w:hAnsi="Times New Roman" w:eastAsia="宋体" w:cs="Times New Roman"/>
                <w:b w:val="0"/>
                <w:bCs/>
                <w:kern w:val="0"/>
                <w:sz w:val="24"/>
              </w:rPr>
            </w:pPr>
          </w:p>
        </w:tc>
        <w:tc>
          <w:tcPr>
            <w:tcW w:w="2766" w:type="dxa"/>
            <w:vMerge w:val="continue"/>
            <w:noWrap w:val="0"/>
            <w:vAlign w:val="center"/>
          </w:tcPr>
          <w:p w14:paraId="313BF1CF">
            <w:pPr>
              <w:widowControl/>
              <w:tabs>
                <w:tab w:val="left" w:pos="1167"/>
              </w:tabs>
              <w:suppressAutoHyphens/>
              <w:bidi w:val="0"/>
              <w:adjustRightInd w:val="0"/>
              <w:snapToGrid w:val="0"/>
              <w:spacing w:line="360" w:lineRule="exact"/>
              <w:jc w:val="left"/>
              <w:rPr>
                <w:rFonts w:hint="default" w:ascii="Times New Roman" w:hAnsi="Times New Roman" w:eastAsia="宋体" w:cs="Times New Roman"/>
                <w:b w:val="0"/>
                <w:bCs/>
                <w:kern w:val="0"/>
                <w:sz w:val="24"/>
              </w:rPr>
            </w:pPr>
          </w:p>
        </w:tc>
        <w:tc>
          <w:tcPr>
            <w:tcW w:w="1533" w:type="dxa"/>
            <w:vMerge w:val="continue"/>
            <w:noWrap w:val="0"/>
            <w:vAlign w:val="center"/>
          </w:tcPr>
          <w:p w14:paraId="4F4DE839">
            <w:pPr>
              <w:widowControl/>
              <w:tabs>
                <w:tab w:val="left" w:pos="1167"/>
              </w:tabs>
              <w:suppressAutoHyphens/>
              <w:bidi w:val="0"/>
              <w:adjustRightInd w:val="0"/>
              <w:snapToGrid w:val="0"/>
              <w:spacing w:line="360" w:lineRule="exact"/>
              <w:jc w:val="left"/>
              <w:rPr>
                <w:rFonts w:hint="default" w:ascii="Times New Roman" w:hAnsi="Times New Roman" w:eastAsia="宋体" w:cs="Times New Roman"/>
                <w:b w:val="0"/>
                <w:bCs/>
                <w:kern w:val="0"/>
                <w:sz w:val="24"/>
              </w:rPr>
            </w:pPr>
          </w:p>
        </w:tc>
        <w:tc>
          <w:tcPr>
            <w:tcW w:w="743" w:type="dxa"/>
            <w:noWrap w:val="0"/>
            <w:vAlign w:val="center"/>
          </w:tcPr>
          <w:p w14:paraId="166FE8A4">
            <w:pPr>
              <w:widowControl/>
              <w:tabs>
                <w:tab w:val="left" w:pos="1167"/>
              </w:tabs>
              <w:suppressAutoHyphens/>
              <w:bidi w:val="0"/>
              <w:adjustRightInd w:val="0"/>
              <w:snapToGrid w:val="0"/>
              <w:spacing w:line="360" w:lineRule="exact"/>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长度</w:t>
            </w:r>
          </w:p>
        </w:tc>
        <w:tc>
          <w:tcPr>
            <w:tcW w:w="729" w:type="dxa"/>
            <w:noWrap w:val="0"/>
            <w:vAlign w:val="center"/>
          </w:tcPr>
          <w:p w14:paraId="0DC1D18A">
            <w:pPr>
              <w:widowControl/>
              <w:tabs>
                <w:tab w:val="left" w:pos="1167"/>
              </w:tabs>
              <w:suppressAutoHyphens/>
              <w:bidi w:val="0"/>
              <w:adjustRightInd w:val="0"/>
              <w:snapToGrid w:val="0"/>
              <w:spacing w:line="360" w:lineRule="exact"/>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宽度</w:t>
            </w:r>
          </w:p>
        </w:tc>
        <w:tc>
          <w:tcPr>
            <w:tcW w:w="944" w:type="dxa"/>
            <w:noWrap w:val="0"/>
            <w:vAlign w:val="center"/>
          </w:tcPr>
          <w:p w14:paraId="03E07D1A">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门槛水深</w:t>
            </w:r>
          </w:p>
        </w:tc>
        <w:tc>
          <w:tcPr>
            <w:tcW w:w="876" w:type="dxa"/>
            <w:noWrap w:val="0"/>
            <w:vAlign w:val="center"/>
          </w:tcPr>
          <w:p w14:paraId="26E739B4">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上游</w:t>
            </w:r>
          </w:p>
        </w:tc>
        <w:tc>
          <w:tcPr>
            <w:tcW w:w="876" w:type="dxa"/>
            <w:noWrap w:val="0"/>
            <w:vAlign w:val="center"/>
          </w:tcPr>
          <w:p w14:paraId="24C2F72C">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下游</w:t>
            </w:r>
          </w:p>
        </w:tc>
        <w:tc>
          <w:tcPr>
            <w:tcW w:w="876" w:type="dxa"/>
            <w:noWrap w:val="0"/>
            <w:vAlign w:val="center"/>
          </w:tcPr>
          <w:p w14:paraId="7481DE0D">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上游</w:t>
            </w:r>
          </w:p>
        </w:tc>
        <w:tc>
          <w:tcPr>
            <w:tcW w:w="876" w:type="dxa"/>
            <w:noWrap w:val="0"/>
            <w:vAlign w:val="center"/>
          </w:tcPr>
          <w:p w14:paraId="6A755C5F">
            <w:pPr>
              <w:widowControl/>
              <w:tabs>
                <w:tab w:val="left" w:pos="1167"/>
              </w:tabs>
              <w:suppressAutoHyphens/>
              <w:bidi w:val="0"/>
              <w:adjustRightInd w:val="0"/>
              <w:snapToGrid w:val="0"/>
              <w:spacing w:line="360" w:lineRule="exact"/>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下游</w:t>
            </w:r>
          </w:p>
        </w:tc>
        <w:tc>
          <w:tcPr>
            <w:tcW w:w="1209" w:type="dxa"/>
            <w:vMerge w:val="continue"/>
            <w:noWrap w:val="0"/>
            <w:vAlign w:val="top"/>
          </w:tcPr>
          <w:p w14:paraId="3ECE4D56">
            <w:pPr>
              <w:widowControl/>
              <w:tabs>
                <w:tab w:val="left" w:pos="1167"/>
              </w:tabs>
              <w:suppressAutoHyphens/>
              <w:bidi w:val="0"/>
              <w:adjustRightInd w:val="0"/>
              <w:snapToGrid w:val="0"/>
              <w:spacing w:line="360" w:lineRule="exact"/>
              <w:jc w:val="left"/>
              <w:rPr>
                <w:rFonts w:hint="default" w:ascii="Times New Roman" w:hAnsi="Times New Roman" w:eastAsia="宋体" w:cs="Times New Roman"/>
                <w:b w:val="0"/>
                <w:bCs/>
                <w:kern w:val="0"/>
                <w:sz w:val="21"/>
                <w:szCs w:val="32"/>
              </w:rPr>
            </w:pPr>
          </w:p>
        </w:tc>
        <w:tc>
          <w:tcPr>
            <w:tcW w:w="1528" w:type="dxa"/>
            <w:vMerge w:val="continue"/>
            <w:noWrap w:val="0"/>
            <w:vAlign w:val="top"/>
          </w:tcPr>
          <w:p w14:paraId="7BF53A92">
            <w:pPr>
              <w:widowControl/>
              <w:tabs>
                <w:tab w:val="left" w:pos="1167"/>
              </w:tabs>
              <w:suppressAutoHyphens/>
              <w:bidi w:val="0"/>
              <w:adjustRightInd w:val="0"/>
              <w:snapToGrid w:val="0"/>
              <w:spacing w:line="360" w:lineRule="exact"/>
              <w:jc w:val="left"/>
              <w:rPr>
                <w:rFonts w:hint="default" w:ascii="Times New Roman" w:hAnsi="Times New Roman" w:eastAsia="宋体" w:cs="Times New Roman"/>
                <w:b w:val="0"/>
                <w:bCs/>
                <w:kern w:val="0"/>
                <w:sz w:val="21"/>
                <w:szCs w:val="32"/>
              </w:rPr>
            </w:pPr>
          </w:p>
        </w:tc>
      </w:tr>
      <w:tr w14:paraId="5EB7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492" w:type="dxa"/>
            <w:noWrap w:val="0"/>
            <w:vAlign w:val="center"/>
          </w:tcPr>
          <w:p w14:paraId="2E61FD7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上石盘</w:t>
            </w:r>
          </w:p>
        </w:tc>
        <w:tc>
          <w:tcPr>
            <w:tcW w:w="2766" w:type="dxa"/>
            <w:noWrap w:val="0"/>
            <w:vAlign w:val="center"/>
          </w:tcPr>
          <w:p w14:paraId="6A3D923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大唐四川川北电力开发有限公司</w:t>
            </w:r>
          </w:p>
        </w:tc>
        <w:tc>
          <w:tcPr>
            <w:tcW w:w="1533" w:type="dxa"/>
            <w:noWrap w:val="0"/>
            <w:vAlign w:val="center"/>
          </w:tcPr>
          <w:p w14:paraId="7128B6EC">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1C278D3C">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149CBFA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w:t>
            </w:r>
          </w:p>
        </w:tc>
        <w:tc>
          <w:tcPr>
            <w:tcW w:w="944" w:type="dxa"/>
            <w:noWrap w:val="0"/>
            <w:vAlign w:val="center"/>
          </w:tcPr>
          <w:p w14:paraId="567A427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1140100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472.50</w:t>
            </w:r>
          </w:p>
        </w:tc>
        <w:tc>
          <w:tcPr>
            <w:tcW w:w="876" w:type="dxa"/>
            <w:noWrap w:val="0"/>
            <w:vAlign w:val="center"/>
          </w:tcPr>
          <w:p w14:paraId="42B2B07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461.62</w:t>
            </w:r>
          </w:p>
        </w:tc>
        <w:tc>
          <w:tcPr>
            <w:tcW w:w="876" w:type="dxa"/>
            <w:noWrap w:val="0"/>
            <w:vAlign w:val="center"/>
          </w:tcPr>
          <w:p w14:paraId="569ECC3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465.3</w:t>
            </w:r>
          </w:p>
        </w:tc>
        <w:tc>
          <w:tcPr>
            <w:tcW w:w="876" w:type="dxa"/>
            <w:noWrap w:val="0"/>
            <w:vAlign w:val="center"/>
          </w:tcPr>
          <w:p w14:paraId="6A9A874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458.05</w:t>
            </w:r>
          </w:p>
        </w:tc>
        <w:tc>
          <w:tcPr>
            <w:tcW w:w="1209" w:type="dxa"/>
            <w:noWrap w:val="0"/>
            <w:vAlign w:val="top"/>
          </w:tcPr>
          <w:p w14:paraId="49979D6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23.93/25（日均）</w:t>
            </w:r>
          </w:p>
        </w:tc>
        <w:tc>
          <w:tcPr>
            <w:tcW w:w="1528" w:type="dxa"/>
            <w:noWrap w:val="0"/>
            <w:vAlign w:val="center"/>
          </w:tcPr>
          <w:p w14:paraId="6720BFD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8</w:t>
            </w:r>
          </w:p>
        </w:tc>
      </w:tr>
      <w:tr w14:paraId="3A01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63EBA73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亭子口</w:t>
            </w:r>
          </w:p>
        </w:tc>
        <w:tc>
          <w:tcPr>
            <w:tcW w:w="2766" w:type="dxa"/>
            <w:noWrap w:val="0"/>
            <w:vAlign w:val="center"/>
          </w:tcPr>
          <w:p w14:paraId="503BA63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嘉陵江亭子口水利水电开发有限公司</w:t>
            </w:r>
          </w:p>
        </w:tc>
        <w:tc>
          <w:tcPr>
            <w:tcW w:w="1533" w:type="dxa"/>
            <w:noWrap w:val="0"/>
            <w:vAlign w:val="center"/>
          </w:tcPr>
          <w:p w14:paraId="5D66AC31">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升船机/500</w:t>
            </w:r>
          </w:p>
        </w:tc>
        <w:tc>
          <w:tcPr>
            <w:tcW w:w="743" w:type="dxa"/>
            <w:noWrap w:val="0"/>
            <w:vAlign w:val="center"/>
          </w:tcPr>
          <w:p w14:paraId="102B97E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116</w:t>
            </w:r>
          </w:p>
        </w:tc>
        <w:tc>
          <w:tcPr>
            <w:tcW w:w="729" w:type="dxa"/>
            <w:noWrap w:val="0"/>
            <w:vAlign w:val="center"/>
          </w:tcPr>
          <w:p w14:paraId="2130A8D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w:t>
            </w:r>
          </w:p>
        </w:tc>
        <w:tc>
          <w:tcPr>
            <w:tcW w:w="944" w:type="dxa"/>
            <w:noWrap w:val="0"/>
            <w:vAlign w:val="center"/>
          </w:tcPr>
          <w:p w14:paraId="3FED1FF0">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2.5</w:t>
            </w:r>
          </w:p>
        </w:tc>
        <w:tc>
          <w:tcPr>
            <w:tcW w:w="876" w:type="dxa"/>
            <w:noWrap w:val="0"/>
            <w:vAlign w:val="center"/>
          </w:tcPr>
          <w:p w14:paraId="51C28F6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458.00</w:t>
            </w:r>
          </w:p>
        </w:tc>
        <w:tc>
          <w:tcPr>
            <w:tcW w:w="876" w:type="dxa"/>
            <w:noWrap w:val="0"/>
            <w:vAlign w:val="center"/>
          </w:tcPr>
          <w:p w14:paraId="3D3533F7">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378.96</w:t>
            </w:r>
          </w:p>
        </w:tc>
        <w:tc>
          <w:tcPr>
            <w:tcW w:w="876" w:type="dxa"/>
            <w:noWrap w:val="0"/>
            <w:vAlign w:val="center"/>
          </w:tcPr>
          <w:p w14:paraId="772829E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438.00</w:t>
            </w:r>
          </w:p>
        </w:tc>
        <w:tc>
          <w:tcPr>
            <w:tcW w:w="876" w:type="dxa"/>
            <w:noWrap w:val="0"/>
            <w:vAlign w:val="center"/>
          </w:tcPr>
          <w:p w14:paraId="131E15F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372.60</w:t>
            </w:r>
          </w:p>
        </w:tc>
        <w:tc>
          <w:tcPr>
            <w:tcW w:w="1209" w:type="dxa"/>
            <w:noWrap w:val="0"/>
            <w:vAlign w:val="top"/>
          </w:tcPr>
          <w:p w14:paraId="5A3E25A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124（日均））</w:t>
            </w:r>
          </w:p>
        </w:tc>
        <w:tc>
          <w:tcPr>
            <w:tcW w:w="1528" w:type="dxa"/>
            <w:noWrap w:val="0"/>
            <w:vAlign w:val="center"/>
          </w:tcPr>
          <w:p w14:paraId="76BD41B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8</w:t>
            </w:r>
          </w:p>
        </w:tc>
      </w:tr>
      <w:tr w14:paraId="23B2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01B3A83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苍溪</w:t>
            </w:r>
          </w:p>
        </w:tc>
        <w:tc>
          <w:tcPr>
            <w:tcW w:w="2766" w:type="dxa"/>
            <w:noWrap w:val="0"/>
            <w:vAlign w:val="center"/>
          </w:tcPr>
          <w:p w14:paraId="46765AC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四川嘉陵江苍溪航电开发有限公司</w:t>
            </w:r>
          </w:p>
        </w:tc>
        <w:tc>
          <w:tcPr>
            <w:tcW w:w="1533" w:type="dxa"/>
            <w:noWrap w:val="0"/>
            <w:vAlign w:val="center"/>
          </w:tcPr>
          <w:p w14:paraId="4B5101C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66F69D7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226C8DB1">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6E0C136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2FBD1E7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375.59</w:t>
            </w:r>
          </w:p>
        </w:tc>
        <w:tc>
          <w:tcPr>
            <w:tcW w:w="876" w:type="dxa"/>
            <w:noWrap w:val="0"/>
            <w:vAlign w:val="center"/>
          </w:tcPr>
          <w:p w14:paraId="2DB3533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375.15</w:t>
            </w:r>
          </w:p>
        </w:tc>
        <w:tc>
          <w:tcPr>
            <w:tcW w:w="876" w:type="dxa"/>
            <w:noWrap w:val="0"/>
            <w:vAlign w:val="center"/>
          </w:tcPr>
          <w:p w14:paraId="4D56F6C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370.05</w:t>
            </w:r>
          </w:p>
        </w:tc>
        <w:tc>
          <w:tcPr>
            <w:tcW w:w="876" w:type="dxa"/>
            <w:noWrap w:val="0"/>
            <w:vAlign w:val="center"/>
          </w:tcPr>
          <w:p w14:paraId="686E223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364.00</w:t>
            </w:r>
          </w:p>
        </w:tc>
        <w:tc>
          <w:tcPr>
            <w:tcW w:w="1209" w:type="dxa"/>
            <w:noWrap w:val="0"/>
            <w:vAlign w:val="center"/>
          </w:tcPr>
          <w:p w14:paraId="094A1CC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110/124（日均）</w:t>
            </w:r>
          </w:p>
        </w:tc>
        <w:tc>
          <w:tcPr>
            <w:tcW w:w="1528" w:type="dxa"/>
            <w:noWrap w:val="0"/>
            <w:vAlign w:val="center"/>
          </w:tcPr>
          <w:p w14:paraId="72602F2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14</w:t>
            </w:r>
          </w:p>
        </w:tc>
      </w:tr>
      <w:tr w14:paraId="2D18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92" w:type="dxa"/>
            <w:noWrap w:val="0"/>
            <w:vAlign w:val="center"/>
          </w:tcPr>
          <w:p w14:paraId="39031BE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沙溪</w:t>
            </w:r>
          </w:p>
        </w:tc>
        <w:tc>
          <w:tcPr>
            <w:tcW w:w="2766" w:type="dxa"/>
            <w:vMerge w:val="restart"/>
            <w:noWrap w:val="0"/>
            <w:vAlign w:val="center"/>
          </w:tcPr>
          <w:p w14:paraId="72387E04">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四川港航嘉陵江金沙航电开发有限公司</w:t>
            </w:r>
          </w:p>
        </w:tc>
        <w:tc>
          <w:tcPr>
            <w:tcW w:w="1533" w:type="dxa"/>
            <w:noWrap w:val="0"/>
            <w:vAlign w:val="center"/>
          </w:tcPr>
          <w:p w14:paraId="79153C2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5681669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119F3C5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7BD80CB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1DB0706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364.00</w:t>
            </w:r>
          </w:p>
        </w:tc>
        <w:tc>
          <w:tcPr>
            <w:tcW w:w="876" w:type="dxa"/>
            <w:noWrap w:val="0"/>
            <w:vAlign w:val="center"/>
          </w:tcPr>
          <w:p w14:paraId="7BC35C6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360.11</w:t>
            </w:r>
          </w:p>
        </w:tc>
        <w:tc>
          <w:tcPr>
            <w:tcW w:w="876" w:type="dxa"/>
            <w:noWrap w:val="0"/>
            <w:vAlign w:val="center"/>
          </w:tcPr>
          <w:p w14:paraId="6ACA7A81">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358.50</w:t>
            </w:r>
          </w:p>
        </w:tc>
        <w:tc>
          <w:tcPr>
            <w:tcW w:w="876" w:type="dxa"/>
            <w:noWrap w:val="0"/>
            <w:vAlign w:val="center"/>
          </w:tcPr>
          <w:p w14:paraId="01A7335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351.81</w:t>
            </w:r>
          </w:p>
        </w:tc>
        <w:tc>
          <w:tcPr>
            <w:tcW w:w="1209" w:type="dxa"/>
            <w:noWrap w:val="0"/>
            <w:vAlign w:val="center"/>
          </w:tcPr>
          <w:p w14:paraId="7B5C327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100/124（日均）</w:t>
            </w:r>
          </w:p>
        </w:tc>
        <w:tc>
          <w:tcPr>
            <w:tcW w:w="1528" w:type="dxa"/>
            <w:noWrap w:val="0"/>
            <w:vAlign w:val="center"/>
          </w:tcPr>
          <w:p w14:paraId="7562FAC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9.5</w:t>
            </w:r>
          </w:p>
        </w:tc>
      </w:tr>
      <w:tr w14:paraId="6465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2" w:type="dxa"/>
            <w:noWrap w:val="0"/>
            <w:vAlign w:val="center"/>
          </w:tcPr>
          <w:p w14:paraId="196DD9E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金银台</w:t>
            </w:r>
          </w:p>
        </w:tc>
        <w:tc>
          <w:tcPr>
            <w:tcW w:w="2766" w:type="dxa"/>
            <w:vMerge w:val="continue"/>
            <w:noWrap w:val="0"/>
            <w:vAlign w:val="center"/>
          </w:tcPr>
          <w:p w14:paraId="2B00B53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w:t>
            </w:r>
          </w:p>
        </w:tc>
        <w:tc>
          <w:tcPr>
            <w:tcW w:w="1533" w:type="dxa"/>
            <w:noWrap w:val="0"/>
            <w:vAlign w:val="center"/>
          </w:tcPr>
          <w:p w14:paraId="45071EF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0C991F1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4E8DAB6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32ED3B0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1928429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352.00</w:t>
            </w:r>
          </w:p>
        </w:tc>
        <w:tc>
          <w:tcPr>
            <w:tcW w:w="876" w:type="dxa"/>
            <w:noWrap w:val="0"/>
            <w:vAlign w:val="center"/>
          </w:tcPr>
          <w:p w14:paraId="5149231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349.67</w:t>
            </w:r>
          </w:p>
        </w:tc>
        <w:tc>
          <w:tcPr>
            <w:tcW w:w="876" w:type="dxa"/>
            <w:noWrap w:val="0"/>
            <w:vAlign w:val="center"/>
          </w:tcPr>
          <w:p w14:paraId="6FF3CDC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346.00</w:t>
            </w:r>
          </w:p>
        </w:tc>
        <w:tc>
          <w:tcPr>
            <w:tcW w:w="876" w:type="dxa"/>
            <w:noWrap w:val="0"/>
            <w:vAlign w:val="center"/>
          </w:tcPr>
          <w:p w14:paraId="0B13E49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336.00</w:t>
            </w:r>
          </w:p>
        </w:tc>
        <w:tc>
          <w:tcPr>
            <w:tcW w:w="1209" w:type="dxa"/>
            <w:noWrap w:val="0"/>
            <w:vAlign w:val="center"/>
          </w:tcPr>
          <w:p w14:paraId="5018442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120/146（日均）</w:t>
            </w:r>
          </w:p>
        </w:tc>
        <w:tc>
          <w:tcPr>
            <w:tcW w:w="1528" w:type="dxa"/>
            <w:noWrap w:val="0"/>
            <w:vAlign w:val="center"/>
          </w:tcPr>
          <w:p w14:paraId="3D02AAE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8.5</w:t>
            </w:r>
          </w:p>
        </w:tc>
      </w:tr>
      <w:tr w14:paraId="6665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6BD10CA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红岩子</w:t>
            </w:r>
          </w:p>
        </w:tc>
        <w:tc>
          <w:tcPr>
            <w:tcW w:w="2766" w:type="dxa"/>
            <w:noWrap w:val="0"/>
            <w:vAlign w:val="center"/>
          </w:tcPr>
          <w:p w14:paraId="290F3AD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四川省南部红岩子电力有限责任公司</w:t>
            </w:r>
          </w:p>
        </w:tc>
        <w:tc>
          <w:tcPr>
            <w:tcW w:w="1533" w:type="dxa"/>
            <w:noWrap w:val="0"/>
            <w:vAlign w:val="center"/>
          </w:tcPr>
          <w:p w14:paraId="6B8A88A7">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43BB870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279856A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6875B7B4">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622F926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337.60</w:t>
            </w:r>
          </w:p>
        </w:tc>
        <w:tc>
          <w:tcPr>
            <w:tcW w:w="876" w:type="dxa"/>
            <w:noWrap w:val="0"/>
            <w:vAlign w:val="center"/>
          </w:tcPr>
          <w:p w14:paraId="3AA5FF5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336.85</w:t>
            </w:r>
          </w:p>
        </w:tc>
        <w:tc>
          <w:tcPr>
            <w:tcW w:w="876" w:type="dxa"/>
            <w:noWrap w:val="0"/>
            <w:vAlign w:val="center"/>
          </w:tcPr>
          <w:p w14:paraId="7E97119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333.00</w:t>
            </w:r>
          </w:p>
        </w:tc>
        <w:tc>
          <w:tcPr>
            <w:tcW w:w="876" w:type="dxa"/>
            <w:noWrap w:val="0"/>
            <w:vAlign w:val="center"/>
          </w:tcPr>
          <w:p w14:paraId="7F898E8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324.00</w:t>
            </w:r>
          </w:p>
        </w:tc>
        <w:tc>
          <w:tcPr>
            <w:tcW w:w="1209" w:type="dxa"/>
            <w:noWrap w:val="0"/>
            <w:vAlign w:val="center"/>
          </w:tcPr>
          <w:p w14:paraId="1339216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77.1/151（日均）</w:t>
            </w:r>
          </w:p>
        </w:tc>
        <w:tc>
          <w:tcPr>
            <w:tcW w:w="1528" w:type="dxa"/>
            <w:noWrap w:val="0"/>
            <w:vAlign w:val="center"/>
          </w:tcPr>
          <w:p w14:paraId="3CF5027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9.5</w:t>
            </w:r>
          </w:p>
        </w:tc>
      </w:tr>
      <w:tr w14:paraId="381E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6EBE81B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新政</w:t>
            </w:r>
          </w:p>
        </w:tc>
        <w:tc>
          <w:tcPr>
            <w:tcW w:w="2766" w:type="dxa"/>
            <w:noWrap w:val="0"/>
            <w:vAlign w:val="center"/>
          </w:tcPr>
          <w:p w14:paraId="6D9C4E7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四川嘉陵江新政航电开发有限公司</w:t>
            </w:r>
          </w:p>
        </w:tc>
        <w:tc>
          <w:tcPr>
            <w:tcW w:w="1533" w:type="dxa"/>
            <w:noWrap w:val="0"/>
            <w:vAlign w:val="center"/>
          </w:tcPr>
          <w:p w14:paraId="076231A7">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5BFF481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1D6214D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242EE92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06727F5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324.00</w:t>
            </w:r>
          </w:p>
        </w:tc>
        <w:tc>
          <w:tcPr>
            <w:tcW w:w="876" w:type="dxa"/>
            <w:noWrap w:val="0"/>
            <w:vAlign w:val="center"/>
          </w:tcPr>
          <w:p w14:paraId="36C2034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320.45</w:t>
            </w:r>
          </w:p>
        </w:tc>
        <w:tc>
          <w:tcPr>
            <w:tcW w:w="876" w:type="dxa"/>
            <w:noWrap w:val="0"/>
            <w:vAlign w:val="center"/>
          </w:tcPr>
          <w:p w14:paraId="6AB5C601">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315.10</w:t>
            </w:r>
          </w:p>
        </w:tc>
        <w:tc>
          <w:tcPr>
            <w:tcW w:w="876" w:type="dxa"/>
            <w:noWrap w:val="0"/>
            <w:vAlign w:val="center"/>
          </w:tcPr>
          <w:p w14:paraId="3320607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309.90</w:t>
            </w:r>
          </w:p>
        </w:tc>
        <w:tc>
          <w:tcPr>
            <w:tcW w:w="1209" w:type="dxa"/>
            <w:noWrap w:val="0"/>
            <w:vAlign w:val="center"/>
          </w:tcPr>
          <w:p w14:paraId="3414B36C">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80/151（日均）</w:t>
            </w:r>
          </w:p>
        </w:tc>
        <w:tc>
          <w:tcPr>
            <w:tcW w:w="1528" w:type="dxa"/>
            <w:noWrap w:val="0"/>
            <w:vAlign w:val="center"/>
          </w:tcPr>
          <w:p w14:paraId="26EE077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10</w:t>
            </w:r>
          </w:p>
        </w:tc>
      </w:tr>
      <w:tr w14:paraId="5EF0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59C3115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金溪</w:t>
            </w:r>
          </w:p>
        </w:tc>
        <w:tc>
          <w:tcPr>
            <w:tcW w:w="2766" w:type="dxa"/>
            <w:noWrap w:val="0"/>
            <w:vAlign w:val="center"/>
          </w:tcPr>
          <w:p w14:paraId="602F1E0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四川嘉陵江金溪航电开发有限公司</w:t>
            </w:r>
          </w:p>
        </w:tc>
        <w:tc>
          <w:tcPr>
            <w:tcW w:w="1533" w:type="dxa"/>
            <w:noWrap w:val="0"/>
            <w:vAlign w:val="center"/>
          </w:tcPr>
          <w:p w14:paraId="64C40E5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495C299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14D6A2C4">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600F1D6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6AD19734">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310.00</w:t>
            </w:r>
          </w:p>
        </w:tc>
        <w:tc>
          <w:tcPr>
            <w:tcW w:w="876" w:type="dxa"/>
            <w:noWrap w:val="0"/>
            <w:vAlign w:val="center"/>
          </w:tcPr>
          <w:p w14:paraId="3D00CF6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305.62</w:t>
            </w:r>
          </w:p>
        </w:tc>
        <w:tc>
          <w:tcPr>
            <w:tcW w:w="876" w:type="dxa"/>
            <w:noWrap w:val="0"/>
            <w:vAlign w:val="center"/>
          </w:tcPr>
          <w:p w14:paraId="0A608CA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304.00</w:t>
            </w:r>
          </w:p>
        </w:tc>
        <w:tc>
          <w:tcPr>
            <w:tcW w:w="876" w:type="dxa"/>
            <w:noWrap w:val="0"/>
            <w:vAlign w:val="center"/>
          </w:tcPr>
          <w:p w14:paraId="7F19D77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292.70</w:t>
            </w:r>
          </w:p>
        </w:tc>
        <w:tc>
          <w:tcPr>
            <w:tcW w:w="1209" w:type="dxa"/>
            <w:noWrap w:val="0"/>
            <w:vAlign w:val="center"/>
          </w:tcPr>
          <w:p w14:paraId="3BE8AC2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110/167（日均）</w:t>
            </w:r>
          </w:p>
        </w:tc>
        <w:tc>
          <w:tcPr>
            <w:tcW w:w="1528" w:type="dxa"/>
            <w:noWrap w:val="0"/>
            <w:vAlign w:val="center"/>
          </w:tcPr>
          <w:p w14:paraId="6A13E69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9.3</w:t>
            </w:r>
          </w:p>
        </w:tc>
      </w:tr>
      <w:tr w14:paraId="6208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6820860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马回</w:t>
            </w:r>
          </w:p>
        </w:tc>
        <w:tc>
          <w:tcPr>
            <w:tcW w:w="2766" w:type="dxa"/>
            <w:noWrap w:val="0"/>
            <w:vAlign w:val="center"/>
          </w:tcPr>
          <w:p w14:paraId="52FF7740">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四川马回电力股份有限公司</w:t>
            </w:r>
          </w:p>
        </w:tc>
        <w:tc>
          <w:tcPr>
            <w:tcW w:w="1533" w:type="dxa"/>
            <w:noWrap w:val="0"/>
            <w:vAlign w:val="center"/>
          </w:tcPr>
          <w:p w14:paraId="1528785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5EC76AF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0E96C4AC">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2E8617E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2.5</w:t>
            </w:r>
          </w:p>
        </w:tc>
        <w:tc>
          <w:tcPr>
            <w:tcW w:w="876" w:type="dxa"/>
            <w:noWrap w:val="0"/>
            <w:vAlign w:val="center"/>
          </w:tcPr>
          <w:p w14:paraId="1DF6BA9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294.85</w:t>
            </w:r>
          </w:p>
        </w:tc>
        <w:tc>
          <w:tcPr>
            <w:tcW w:w="876" w:type="dxa"/>
            <w:noWrap w:val="0"/>
            <w:vAlign w:val="center"/>
          </w:tcPr>
          <w:p w14:paraId="36EC71D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286.60</w:t>
            </w:r>
          </w:p>
        </w:tc>
        <w:tc>
          <w:tcPr>
            <w:tcW w:w="876" w:type="dxa"/>
            <w:noWrap w:val="0"/>
            <w:vAlign w:val="center"/>
          </w:tcPr>
          <w:p w14:paraId="1C4C6FD4">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292.20</w:t>
            </w:r>
          </w:p>
        </w:tc>
        <w:tc>
          <w:tcPr>
            <w:tcW w:w="876" w:type="dxa"/>
            <w:noWrap w:val="0"/>
            <w:vAlign w:val="center"/>
          </w:tcPr>
          <w:p w14:paraId="7279E9E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279.50</w:t>
            </w:r>
          </w:p>
        </w:tc>
        <w:tc>
          <w:tcPr>
            <w:tcW w:w="1209" w:type="dxa"/>
            <w:noWrap w:val="0"/>
            <w:vAlign w:val="center"/>
          </w:tcPr>
          <w:p w14:paraId="48DBD18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76.5/167（日均）</w:t>
            </w:r>
          </w:p>
        </w:tc>
        <w:tc>
          <w:tcPr>
            <w:tcW w:w="1528" w:type="dxa"/>
            <w:noWrap w:val="0"/>
            <w:vAlign w:val="center"/>
          </w:tcPr>
          <w:p w14:paraId="759587FC">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10</w:t>
            </w:r>
          </w:p>
        </w:tc>
      </w:tr>
      <w:tr w14:paraId="40AF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0F63A44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凤仪场</w:t>
            </w:r>
          </w:p>
        </w:tc>
        <w:tc>
          <w:tcPr>
            <w:tcW w:w="2766" w:type="dxa"/>
            <w:noWrap w:val="0"/>
            <w:vAlign w:val="center"/>
          </w:tcPr>
          <w:p w14:paraId="7481900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四川嘉陵江凤仪航电开发有限公司</w:t>
            </w:r>
          </w:p>
        </w:tc>
        <w:tc>
          <w:tcPr>
            <w:tcW w:w="1533" w:type="dxa"/>
            <w:noWrap w:val="0"/>
            <w:vAlign w:val="center"/>
          </w:tcPr>
          <w:p w14:paraId="2928FA04">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3D503B1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49860D74">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317802F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205A8A4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280.00</w:t>
            </w:r>
          </w:p>
        </w:tc>
        <w:tc>
          <w:tcPr>
            <w:tcW w:w="876" w:type="dxa"/>
            <w:noWrap w:val="0"/>
            <w:vAlign w:val="center"/>
          </w:tcPr>
          <w:p w14:paraId="089CFA67">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278.91</w:t>
            </w:r>
          </w:p>
        </w:tc>
        <w:tc>
          <w:tcPr>
            <w:tcW w:w="876" w:type="dxa"/>
            <w:noWrap w:val="0"/>
            <w:vAlign w:val="center"/>
          </w:tcPr>
          <w:p w14:paraId="126ED70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274.00</w:t>
            </w:r>
          </w:p>
        </w:tc>
        <w:tc>
          <w:tcPr>
            <w:tcW w:w="876" w:type="dxa"/>
            <w:noWrap w:val="0"/>
            <w:vAlign w:val="center"/>
          </w:tcPr>
          <w:p w14:paraId="14434CD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269.00</w:t>
            </w:r>
          </w:p>
        </w:tc>
        <w:tc>
          <w:tcPr>
            <w:tcW w:w="1209" w:type="dxa"/>
            <w:noWrap w:val="0"/>
            <w:vAlign w:val="center"/>
          </w:tcPr>
          <w:p w14:paraId="0D3DEBA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100/167（日均）</w:t>
            </w:r>
          </w:p>
        </w:tc>
        <w:tc>
          <w:tcPr>
            <w:tcW w:w="1528" w:type="dxa"/>
            <w:noWrap w:val="0"/>
            <w:vAlign w:val="center"/>
          </w:tcPr>
          <w:p w14:paraId="4A8D61A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9.5</w:t>
            </w:r>
          </w:p>
        </w:tc>
      </w:tr>
      <w:tr w14:paraId="1210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57D1E38C">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小龙门</w:t>
            </w:r>
          </w:p>
        </w:tc>
        <w:tc>
          <w:tcPr>
            <w:tcW w:w="2766" w:type="dxa"/>
            <w:noWrap w:val="0"/>
            <w:vAlign w:val="center"/>
          </w:tcPr>
          <w:p w14:paraId="1EF8FB3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四川嘉陵江小龙门航电开发有限公司</w:t>
            </w:r>
          </w:p>
        </w:tc>
        <w:tc>
          <w:tcPr>
            <w:tcW w:w="1533" w:type="dxa"/>
            <w:noWrap w:val="0"/>
            <w:vAlign w:val="center"/>
          </w:tcPr>
          <w:p w14:paraId="79CACC1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2AF010E0">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20B1BC6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4F8D94B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002584B7">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271.85</w:t>
            </w:r>
          </w:p>
        </w:tc>
        <w:tc>
          <w:tcPr>
            <w:tcW w:w="876" w:type="dxa"/>
            <w:noWrap w:val="0"/>
            <w:vAlign w:val="center"/>
          </w:tcPr>
          <w:p w14:paraId="20BA893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271.40</w:t>
            </w:r>
          </w:p>
        </w:tc>
        <w:tc>
          <w:tcPr>
            <w:tcW w:w="876" w:type="dxa"/>
            <w:noWrap w:val="0"/>
            <w:vAlign w:val="center"/>
          </w:tcPr>
          <w:p w14:paraId="06ED640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267.80</w:t>
            </w:r>
          </w:p>
        </w:tc>
        <w:tc>
          <w:tcPr>
            <w:tcW w:w="876" w:type="dxa"/>
            <w:noWrap w:val="0"/>
            <w:vAlign w:val="center"/>
          </w:tcPr>
          <w:p w14:paraId="1BC348C7">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262.50</w:t>
            </w:r>
          </w:p>
        </w:tc>
        <w:tc>
          <w:tcPr>
            <w:tcW w:w="1209" w:type="dxa"/>
            <w:noWrap w:val="0"/>
            <w:vAlign w:val="center"/>
          </w:tcPr>
          <w:p w14:paraId="27829F6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110/167（日均）</w:t>
            </w:r>
          </w:p>
        </w:tc>
        <w:tc>
          <w:tcPr>
            <w:tcW w:w="1528" w:type="dxa"/>
            <w:noWrap w:val="0"/>
            <w:vAlign w:val="center"/>
          </w:tcPr>
          <w:p w14:paraId="477F922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10.5</w:t>
            </w:r>
          </w:p>
        </w:tc>
      </w:tr>
      <w:tr w14:paraId="702D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92" w:type="dxa"/>
            <w:noWrap w:val="0"/>
            <w:vAlign w:val="center"/>
          </w:tcPr>
          <w:p w14:paraId="6B250F3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青居</w:t>
            </w:r>
          </w:p>
        </w:tc>
        <w:tc>
          <w:tcPr>
            <w:tcW w:w="2766" w:type="dxa"/>
            <w:noWrap w:val="0"/>
            <w:vAlign w:val="center"/>
          </w:tcPr>
          <w:p w14:paraId="54511F7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四川华能嘉陵江水电有限责任公司</w:t>
            </w:r>
          </w:p>
        </w:tc>
        <w:tc>
          <w:tcPr>
            <w:tcW w:w="1533" w:type="dxa"/>
            <w:noWrap w:val="0"/>
            <w:vAlign w:val="center"/>
          </w:tcPr>
          <w:p w14:paraId="5CECB6D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2FE97EA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6CDDFF3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652761B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2.5</w:t>
            </w:r>
          </w:p>
        </w:tc>
        <w:tc>
          <w:tcPr>
            <w:tcW w:w="876" w:type="dxa"/>
            <w:noWrap w:val="0"/>
            <w:vAlign w:val="center"/>
          </w:tcPr>
          <w:p w14:paraId="5E7FE4F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265.8</w:t>
            </w:r>
          </w:p>
        </w:tc>
        <w:tc>
          <w:tcPr>
            <w:tcW w:w="876" w:type="dxa"/>
            <w:noWrap w:val="0"/>
            <w:vAlign w:val="center"/>
          </w:tcPr>
          <w:p w14:paraId="7DAF919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260.9</w:t>
            </w:r>
          </w:p>
        </w:tc>
        <w:tc>
          <w:tcPr>
            <w:tcW w:w="876" w:type="dxa"/>
            <w:noWrap w:val="0"/>
            <w:vAlign w:val="center"/>
          </w:tcPr>
          <w:p w14:paraId="1BC2E5C7">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260.00</w:t>
            </w:r>
          </w:p>
        </w:tc>
        <w:tc>
          <w:tcPr>
            <w:tcW w:w="876" w:type="dxa"/>
            <w:noWrap w:val="0"/>
            <w:vAlign w:val="center"/>
          </w:tcPr>
          <w:p w14:paraId="780F48E0">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248.00</w:t>
            </w:r>
          </w:p>
        </w:tc>
        <w:tc>
          <w:tcPr>
            <w:tcW w:w="1209" w:type="dxa"/>
            <w:noWrap w:val="0"/>
            <w:vAlign w:val="center"/>
          </w:tcPr>
          <w:p w14:paraId="2F7CA51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17（坝址处）/178（尾水处，日均）</w:t>
            </w:r>
          </w:p>
        </w:tc>
        <w:tc>
          <w:tcPr>
            <w:tcW w:w="1528" w:type="dxa"/>
            <w:noWrap w:val="0"/>
            <w:vAlign w:val="center"/>
          </w:tcPr>
          <w:p w14:paraId="38904A2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12.5</w:t>
            </w:r>
          </w:p>
        </w:tc>
      </w:tr>
      <w:tr w14:paraId="711E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92" w:type="dxa"/>
            <w:noWrap w:val="0"/>
            <w:vAlign w:val="center"/>
          </w:tcPr>
          <w:p w14:paraId="6283B7C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东西关</w:t>
            </w:r>
          </w:p>
        </w:tc>
        <w:tc>
          <w:tcPr>
            <w:tcW w:w="2766" w:type="dxa"/>
            <w:noWrap w:val="0"/>
            <w:vAlign w:val="center"/>
          </w:tcPr>
          <w:p w14:paraId="72E56D1E">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四川华能东西关水电股份有限公司</w:t>
            </w:r>
          </w:p>
        </w:tc>
        <w:tc>
          <w:tcPr>
            <w:tcW w:w="1533" w:type="dxa"/>
            <w:noWrap w:val="0"/>
            <w:vAlign w:val="center"/>
          </w:tcPr>
          <w:p w14:paraId="0C24892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4E578104">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14E6F420">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70A8A83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2636FD4A">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250.10</w:t>
            </w:r>
          </w:p>
        </w:tc>
        <w:tc>
          <w:tcPr>
            <w:tcW w:w="876" w:type="dxa"/>
            <w:noWrap w:val="0"/>
            <w:vAlign w:val="center"/>
          </w:tcPr>
          <w:p w14:paraId="353BEE9C">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239.30</w:t>
            </w:r>
          </w:p>
        </w:tc>
        <w:tc>
          <w:tcPr>
            <w:tcW w:w="876" w:type="dxa"/>
            <w:noWrap w:val="0"/>
            <w:vAlign w:val="center"/>
          </w:tcPr>
          <w:p w14:paraId="752A8E7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241.00</w:t>
            </w:r>
          </w:p>
        </w:tc>
        <w:tc>
          <w:tcPr>
            <w:tcW w:w="876" w:type="dxa"/>
            <w:noWrap w:val="0"/>
            <w:vAlign w:val="center"/>
          </w:tcPr>
          <w:p w14:paraId="39FA79E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223.95</w:t>
            </w:r>
          </w:p>
        </w:tc>
        <w:tc>
          <w:tcPr>
            <w:tcW w:w="1209" w:type="dxa"/>
            <w:noWrap w:val="0"/>
            <w:vAlign w:val="center"/>
          </w:tcPr>
          <w:p w14:paraId="144290D0">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81（坝址处）/178（尾水处，日均）</w:t>
            </w:r>
          </w:p>
        </w:tc>
        <w:tc>
          <w:tcPr>
            <w:tcW w:w="1528" w:type="dxa"/>
            <w:noWrap w:val="0"/>
            <w:vAlign w:val="center"/>
          </w:tcPr>
          <w:p w14:paraId="2EFC3DE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14</w:t>
            </w:r>
          </w:p>
        </w:tc>
      </w:tr>
      <w:tr w14:paraId="09DF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3B6DD23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桐子壕</w:t>
            </w:r>
          </w:p>
        </w:tc>
        <w:tc>
          <w:tcPr>
            <w:tcW w:w="2766" w:type="dxa"/>
            <w:noWrap w:val="0"/>
            <w:vAlign w:val="center"/>
          </w:tcPr>
          <w:p w14:paraId="6577A0F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四川嘉陵江桐子壕航电开发有限公司</w:t>
            </w:r>
          </w:p>
        </w:tc>
        <w:tc>
          <w:tcPr>
            <w:tcW w:w="1533" w:type="dxa"/>
            <w:noWrap w:val="0"/>
            <w:vAlign w:val="center"/>
          </w:tcPr>
          <w:p w14:paraId="029597B0">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船闸/500</w:t>
            </w:r>
          </w:p>
        </w:tc>
        <w:tc>
          <w:tcPr>
            <w:tcW w:w="743" w:type="dxa"/>
            <w:noWrap w:val="0"/>
            <w:vAlign w:val="center"/>
          </w:tcPr>
          <w:p w14:paraId="1637FAD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120</w:t>
            </w:r>
          </w:p>
        </w:tc>
        <w:tc>
          <w:tcPr>
            <w:tcW w:w="729" w:type="dxa"/>
            <w:noWrap w:val="0"/>
            <w:vAlign w:val="center"/>
          </w:tcPr>
          <w:p w14:paraId="6E4392A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16</w:t>
            </w:r>
          </w:p>
        </w:tc>
        <w:tc>
          <w:tcPr>
            <w:tcW w:w="944" w:type="dxa"/>
            <w:noWrap w:val="0"/>
            <w:vAlign w:val="center"/>
          </w:tcPr>
          <w:p w14:paraId="315C084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3.0</w:t>
            </w:r>
          </w:p>
        </w:tc>
        <w:tc>
          <w:tcPr>
            <w:tcW w:w="876" w:type="dxa"/>
            <w:noWrap w:val="0"/>
            <w:vAlign w:val="center"/>
          </w:tcPr>
          <w:p w14:paraId="7445A61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228.06</w:t>
            </w:r>
          </w:p>
        </w:tc>
        <w:tc>
          <w:tcPr>
            <w:tcW w:w="876" w:type="dxa"/>
            <w:noWrap w:val="0"/>
            <w:vAlign w:val="center"/>
          </w:tcPr>
          <w:p w14:paraId="673A79B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226.59</w:t>
            </w:r>
          </w:p>
        </w:tc>
        <w:tc>
          <w:tcPr>
            <w:tcW w:w="876" w:type="dxa"/>
            <w:noWrap w:val="0"/>
            <w:vAlign w:val="center"/>
          </w:tcPr>
          <w:p w14:paraId="4F79B1B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223.00</w:t>
            </w:r>
          </w:p>
        </w:tc>
        <w:tc>
          <w:tcPr>
            <w:tcW w:w="876" w:type="dxa"/>
            <w:noWrap w:val="0"/>
            <w:vAlign w:val="center"/>
          </w:tcPr>
          <w:p w14:paraId="3D08E98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209.45</w:t>
            </w:r>
          </w:p>
        </w:tc>
        <w:tc>
          <w:tcPr>
            <w:tcW w:w="1209" w:type="dxa"/>
            <w:noWrap w:val="0"/>
            <w:vAlign w:val="center"/>
          </w:tcPr>
          <w:p w14:paraId="29F7FC6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87.1</w:t>
            </w:r>
            <w:r>
              <w:rPr>
                <w:rFonts w:hint="default" w:ascii="Times New Roman" w:hAnsi="Times New Roman" w:eastAsia="仿宋_GB2312" w:cs="Times New Roman"/>
                <w:b w:val="0"/>
                <w:bCs/>
                <w:kern w:val="0"/>
                <w:sz w:val="24"/>
                <w:lang w:val="en"/>
              </w:rPr>
              <w:t>/</w:t>
            </w:r>
            <w:r>
              <w:rPr>
                <w:rFonts w:hint="default" w:ascii="Times New Roman" w:hAnsi="Times New Roman" w:eastAsia="仿宋_GB2312" w:cs="Times New Roman"/>
                <w:b w:val="0"/>
                <w:bCs/>
                <w:kern w:val="0"/>
                <w:sz w:val="24"/>
              </w:rPr>
              <w:t>185（日均）</w:t>
            </w:r>
          </w:p>
        </w:tc>
        <w:tc>
          <w:tcPr>
            <w:tcW w:w="1528" w:type="dxa"/>
            <w:noWrap w:val="0"/>
            <w:vAlign w:val="center"/>
          </w:tcPr>
          <w:p w14:paraId="7810E68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13.5</w:t>
            </w:r>
          </w:p>
        </w:tc>
      </w:tr>
      <w:tr w14:paraId="156C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noWrap w:val="0"/>
            <w:vAlign w:val="center"/>
          </w:tcPr>
          <w:p w14:paraId="102E5367">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利泽</w:t>
            </w:r>
          </w:p>
        </w:tc>
        <w:tc>
          <w:tcPr>
            <w:tcW w:w="2766" w:type="dxa"/>
            <w:noWrap w:val="0"/>
            <w:vAlign w:val="center"/>
          </w:tcPr>
          <w:p w14:paraId="0D4301B3">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重庆嘉陵江利泽航电开发有限公司</w:t>
            </w:r>
          </w:p>
        </w:tc>
        <w:tc>
          <w:tcPr>
            <w:tcW w:w="1533" w:type="dxa"/>
            <w:noWrap w:val="0"/>
            <w:vAlign w:val="center"/>
          </w:tcPr>
          <w:p w14:paraId="579A2DF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船闸/1000</w:t>
            </w:r>
          </w:p>
        </w:tc>
        <w:tc>
          <w:tcPr>
            <w:tcW w:w="743" w:type="dxa"/>
            <w:noWrap w:val="0"/>
            <w:vAlign w:val="center"/>
          </w:tcPr>
          <w:p w14:paraId="06064F0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180</w:t>
            </w:r>
          </w:p>
        </w:tc>
        <w:tc>
          <w:tcPr>
            <w:tcW w:w="729" w:type="dxa"/>
            <w:noWrap w:val="0"/>
            <w:vAlign w:val="center"/>
          </w:tcPr>
          <w:p w14:paraId="54E6440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23</w:t>
            </w:r>
          </w:p>
        </w:tc>
        <w:tc>
          <w:tcPr>
            <w:tcW w:w="944" w:type="dxa"/>
            <w:noWrap w:val="0"/>
            <w:vAlign w:val="center"/>
          </w:tcPr>
          <w:p w14:paraId="006DDEB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3.5</w:t>
            </w:r>
          </w:p>
        </w:tc>
        <w:tc>
          <w:tcPr>
            <w:tcW w:w="876" w:type="dxa"/>
            <w:noWrap w:val="0"/>
            <w:vAlign w:val="center"/>
          </w:tcPr>
          <w:p w14:paraId="7136D4A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217.82</w:t>
            </w:r>
          </w:p>
        </w:tc>
        <w:tc>
          <w:tcPr>
            <w:tcW w:w="876" w:type="dxa"/>
            <w:noWrap w:val="0"/>
            <w:vAlign w:val="center"/>
          </w:tcPr>
          <w:p w14:paraId="354A8EF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217.17</w:t>
            </w:r>
          </w:p>
        </w:tc>
        <w:tc>
          <w:tcPr>
            <w:tcW w:w="876" w:type="dxa"/>
            <w:noWrap w:val="0"/>
            <w:vAlign w:val="center"/>
          </w:tcPr>
          <w:p w14:paraId="7586581C">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210.30</w:t>
            </w:r>
          </w:p>
        </w:tc>
        <w:tc>
          <w:tcPr>
            <w:tcW w:w="876" w:type="dxa"/>
            <w:noWrap w:val="0"/>
            <w:vAlign w:val="center"/>
          </w:tcPr>
          <w:p w14:paraId="5B6E987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202.00</w:t>
            </w:r>
          </w:p>
        </w:tc>
        <w:tc>
          <w:tcPr>
            <w:tcW w:w="1209" w:type="dxa"/>
            <w:noWrap w:val="0"/>
            <w:vAlign w:val="top"/>
          </w:tcPr>
          <w:p w14:paraId="041B2E5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p>
        </w:tc>
        <w:tc>
          <w:tcPr>
            <w:tcW w:w="1528" w:type="dxa"/>
            <w:noWrap w:val="0"/>
            <w:vAlign w:val="center"/>
          </w:tcPr>
          <w:p w14:paraId="16005A2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15</w:t>
            </w:r>
          </w:p>
        </w:tc>
      </w:tr>
      <w:tr w14:paraId="05F6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2" w:type="dxa"/>
            <w:noWrap w:val="0"/>
            <w:vAlign w:val="center"/>
          </w:tcPr>
          <w:p w14:paraId="72AF4DA5">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草街</w:t>
            </w:r>
          </w:p>
        </w:tc>
        <w:tc>
          <w:tcPr>
            <w:tcW w:w="2766" w:type="dxa"/>
            <w:noWrap w:val="0"/>
            <w:vAlign w:val="center"/>
          </w:tcPr>
          <w:p w14:paraId="61E14AD6">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重庆草街航运电力开发有限公司</w:t>
            </w:r>
          </w:p>
        </w:tc>
        <w:tc>
          <w:tcPr>
            <w:tcW w:w="1533" w:type="dxa"/>
            <w:noWrap w:val="0"/>
            <w:vAlign w:val="center"/>
          </w:tcPr>
          <w:p w14:paraId="7AB80C3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船闸/1000</w:t>
            </w:r>
          </w:p>
        </w:tc>
        <w:tc>
          <w:tcPr>
            <w:tcW w:w="743" w:type="dxa"/>
            <w:noWrap w:val="0"/>
            <w:vAlign w:val="center"/>
          </w:tcPr>
          <w:p w14:paraId="3346D80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180</w:t>
            </w:r>
          </w:p>
        </w:tc>
        <w:tc>
          <w:tcPr>
            <w:tcW w:w="729" w:type="dxa"/>
            <w:noWrap w:val="0"/>
            <w:vAlign w:val="center"/>
          </w:tcPr>
          <w:p w14:paraId="0A2D7211">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23</w:t>
            </w:r>
          </w:p>
        </w:tc>
        <w:tc>
          <w:tcPr>
            <w:tcW w:w="944" w:type="dxa"/>
            <w:noWrap w:val="0"/>
            <w:vAlign w:val="center"/>
          </w:tcPr>
          <w:p w14:paraId="2A36A91B">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3.5</w:t>
            </w:r>
          </w:p>
        </w:tc>
        <w:tc>
          <w:tcPr>
            <w:tcW w:w="876" w:type="dxa"/>
            <w:noWrap w:val="0"/>
            <w:vAlign w:val="center"/>
          </w:tcPr>
          <w:p w14:paraId="184AB8CF">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203.00</w:t>
            </w:r>
          </w:p>
        </w:tc>
        <w:tc>
          <w:tcPr>
            <w:tcW w:w="876" w:type="dxa"/>
            <w:noWrap w:val="0"/>
            <w:vAlign w:val="center"/>
          </w:tcPr>
          <w:p w14:paraId="71821F7D">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190.92</w:t>
            </w:r>
          </w:p>
        </w:tc>
        <w:tc>
          <w:tcPr>
            <w:tcW w:w="876" w:type="dxa"/>
            <w:noWrap w:val="0"/>
            <w:vAlign w:val="center"/>
          </w:tcPr>
          <w:p w14:paraId="5E445121">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200.00</w:t>
            </w:r>
          </w:p>
        </w:tc>
        <w:tc>
          <w:tcPr>
            <w:tcW w:w="876" w:type="dxa"/>
            <w:noWrap w:val="0"/>
            <w:vAlign w:val="center"/>
          </w:tcPr>
          <w:p w14:paraId="7AF67C79">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176.30</w:t>
            </w:r>
          </w:p>
        </w:tc>
        <w:tc>
          <w:tcPr>
            <w:tcW w:w="1209" w:type="dxa"/>
            <w:noWrap w:val="0"/>
            <w:vAlign w:val="center"/>
          </w:tcPr>
          <w:p w14:paraId="47DDFE62">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327</w:t>
            </w:r>
          </w:p>
        </w:tc>
        <w:tc>
          <w:tcPr>
            <w:tcW w:w="1528" w:type="dxa"/>
            <w:noWrap w:val="0"/>
            <w:vAlign w:val="center"/>
          </w:tcPr>
          <w:p w14:paraId="5685F0F8">
            <w:pPr>
              <w:widowControl/>
              <w:tabs>
                <w:tab w:val="left" w:pos="1167"/>
              </w:tabs>
              <w:suppressAutoHyphens/>
              <w:bidi w:val="0"/>
              <w:adjustRightInd w:val="0"/>
              <w:snapToGrid w:val="0"/>
              <w:spacing w:line="360" w:lineRule="exact"/>
              <w:jc w:val="center"/>
              <w:rPr>
                <w:rFonts w:hint="default" w:ascii="Times New Roman" w:hAnsi="Times New Roman" w:eastAsia="仿宋_GB2312" w:cs="Times New Roman"/>
                <w:b w:val="0"/>
                <w:bCs/>
                <w:kern w:val="0"/>
                <w:sz w:val="24"/>
              </w:rPr>
            </w:pPr>
            <w:r>
              <w:rPr>
                <w:rFonts w:hint="default" w:ascii="Times New Roman" w:hAnsi="Times New Roman" w:eastAsia="仿宋_GB2312" w:cs="Times New Roman"/>
                <w:b w:val="0"/>
                <w:bCs/>
                <w:kern w:val="0"/>
                <w:sz w:val="24"/>
              </w:rPr>
              <w:t>15</w:t>
            </w:r>
          </w:p>
        </w:tc>
      </w:tr>
    </w:tbl>
    <w:p w14:paraId="5BB77B39">
      <w:pPr>
        <w:widowControl/>
        <w:suppressAutoHyphens/>
        <w:bidi w:val="0"/>
        <w:jc w:val="left"/>
        <w:rPr>
          <w:rFonts w:hint="default" w:ascii="Times New Roman" w:hAnsi="Times New Roman" w:eastAsia="仿宋_GB2312" w:cs="Times New Roman"/>
          <w:b w:val="0"/>
          <w:bCs/>
          <w:sz w:val="28"/>
          <w:szCs w:val="28"/>
        </w:rPr>
      </w:pPr>
    </w:p>
    <w:p w14:paraId="4FC5015B">
      <w:pPr>
        <w:widowControl/>
        <w:suppressAutoHyphens/>
        <w:bidi w:val="0"/>
        <w:ind w:firstLine="560" w:firstLineChars="200"/>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备注：最小下泄流量取自《长江水利委员会关于印发嘉陵江流域2024年水量调度计划的通知》（长水资管〔2024〕21号）；最高、最低通航水位以枢纽有关设计报告及以相关部门批复文件为准；亭子口、苍溪枢纽应执行《长江委办公室关于印发嘉陵江亭子口水利枢纽调度运行专题协商会议纪要的通知》（办水资管〔2024〕188号）。</w:t>
      </w:r>
    </w:p>
    <w:p w14:paraId="3747811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62DB0"/>
    <w:rsid w:val="1F76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0"/>
    <w:pPr>
      <w:keepNext/>
      <w:keepLines/>
      <w:spacing w:beforeLines="0" w:beforeAutospacing="0" w:afterLines="0" w:afterAutospacing="0" w:line="600" w:lineRule="exact"/>
      <w:ind w:firstLine="0" w:firstLineChars="0"/>
      <w:jc w:val="center"/>
      <w:outlineLvl w:val="1"/>
    </w:pPr>
    <w:rPr>
      <w:rFonts w:ascii="Times New Roman" w:hAnsi="Times New Roman" w:eastAsia="黑体"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2025-02-12T09:03:00Z</dcterms:created>
  <dc:creator>之一</dc:creator>
  <cp:lastModifiedBy>之一</cp:lastModifiedBy>
  <dcterms:modified xsi:type="dcterms:W3CDTF">2025-02-12T09:04:26Z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42783BD023304685B38CA4E959B050BB_11</vt:lpwstr>
  </property>
  <property fmtid="{D5CDD505-2E9C-101B-9397-08002B2CF9AE}" pid="4" name="KSOTemplateDocerSaveRecord">
    <vt:lpwstr>eyJoZGlkIjoiN2YzY2IyMzQ0MTA3YjcwZWQyNjFkN2M2MmY0MTI3MGEiLCJ1c2VySWQiOiI4MjM2MTM3NjkifQ==</vt:lpwstr>
  </property>
</Properties>
</file>