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附件2</w:t>
      </w:r>
    </w:p>
    <w:p>
      <w:pPr>
        <w:spacing w:line="640" w:lineRule="exact"/>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养护工程从业单位承包合同段年度信用评价履约行为扣分标准</w:t>
      </w:r>
    </w:p>
    <w:p>
      <w:pPr>
        <w:spacing w:line="640" w:lineRule="exact"/>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 xml:space="preserve">养护工程施工从业单位扣分标准 </w:t>
      </w:r>
    </w:p>
    <w:tbl>
      <w:tblPr>
        <w:tblStyle w:val="8"/>
        <w:tblW w:w="14360" w:type="dxa"/>
        <w:jc w:val="center"/>
        <w:tblLayout w:type="fixed"/>
        <w:tblCellMar>
          <w:top w:w="0" w:type="dxa"/>
          <w:left w:w="108" w:type="dxa"/>
          <w:bottom w:w="0" w:type="dxa"/>
          <w:right w:w="108" w:type="dxa"/>
        </w:tblCellMar>
      </w:tblPr>
      <w:tblGrid>
        <w:gridCol w:w="1259"/>
        <w:gridCol w:w="1356"/>
        <w:gridCol w:w="1420"/>
        <w:gridCol w:w="5632"/>
        <w:gridCol w:w="1981"/>
        <w:gridCol w:w="2712"/>
      </w:tblGrid>
      <w:tr>
        <w:tblPrEx>
          <w:tblCellMar>
            <w:top w:w="0" w:type="dxa"/>
            <w:left w:w="108" w:type="dxa"/>
            <w:bottom w:w="0" w:type="dxa"/>
            <w:right w:w="108" w:type="dxa"/>
          </w:tblCellMar>
        </w:tblPrEx>
        <w:trPr>
          <w:trHeight w:val="570" w:hRule="atLeast"/>
          <w:jc w:val="center"/>
        </w:trPr>
        <w:tc>
          <w:tcPr>
            <w:tcW w:w="261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评定内容</w:t>
            </w:r>
          </w:p>
        </w:tc>
        <w:tc>
          <w:tcPr>
            <w:tcW w:w="142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行为代码</w:t>
            </w:r>
          </w:p>
        </w:tc>
        <w:tc>
          <w:tcPr>
            <w:tcW w:w="5632" w:type="dxa"/>
            <w:tcBorders>
              <w:top w:val="single" w:color="auto" w:sz="4" w:space="0"/>
              <w:left w:val="nil"/>
              <w:bottom w:val="single" w:color="auto" w:sz="4" w:space="0"/>
              <w:right w:val="single" w:color="auto" w:sz="4" w:space="0"/>
            </w:tcBorders>
            <w:noWrap w:val="0"/>
            <w:vAlign w:val="center"/>
          </w:tcPr>
          <w:p>
            <w:pPr>
              <w:pStyle w:val="5"/>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不良行为</w:t>
            </w:r>
          </w:p>
        </w:tc>
        <w:tc>
          <w:tcPr>
            <w:tcW w:w="19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行为等级和扣分标准</w:t>
            </w:r>
          </w:p>
        </w:tc>
        <w:tc>
          <w:tcPr>
            <w:tcW w:w="271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条文说明</w:t>
            </w:r>
          </w:p>
        </w:tc>
      </w:tr>
      <w:tr>
        <w:tblPrEx>
          <w:tblCellMar>
            <w:top w:w="0" w:type="dxa"/>
            <w:left w:w="108" w:type="dxa"/>
            <w:bottom w:w="0" w:type="dxa"/>
            <w:right w:w="108" w:type="dxa"/>
          </w:tblCellMar>
        </w:tblPrEx>
        <w:trPr>
          <w:trHeight w:val="285" w:hRule="atLeast"/>
          <w:jc w:val="center"/>
        </w:trPr>
        <w:tc>
          <w:tcPr>
            <w:tcW w:w="1259"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bookmarkStart w:id="0" w:name="_GoBack"/>
            <w:r>
              <w:rPr>
                <w:rFonts w:hint="default" w:ascii="Times New Roman" w:hAnsi="Times New Roman" w:eastAsia="仿宋_GB2312" w:cs="Times New Roman"/>
                <w:b w:val="0"/>
                <w:bCs w:val="0"/>
                <w:color w:val="auto"/>
                <w:kern w:val="0"/>
                <w:szCs w:val="21"/>
                <w:highlight w:val="none"/>
              </w:rPr>
              <w:t>履约行为（满分100，扣完为止。GLSG2）</w:t>
            </w:r>
          </w:p>
        </w:tc>
        <w:tc>
          <w:tcPr>
            <w:tcW w:w="1356" w:type="dxa"/>
            <w:vMerge w:val="restart"/>
            <w:tcBorders>
              <w:top w:val="nil"/>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人员到位，施工准备（满分10，扣完为止。行为代码GLSG2-2）</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GLSG2-2-1</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签订合同后无正当理由不按投标文件承诺时间进场</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2分/延迟十日</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bookmarkEnd w:id="0"/>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GLSG2-2-2</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项目经理未按投标承诺到位，或在施工期间所更换项目经理资格降低，或未经批准擅自更换</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2分/人次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GLSG2-2-3</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项目经理在施工期间不低于原资格更换</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0.5分/人次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项目法人要求更换的除外</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GLSG2-2-4</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技术负责人未按投标承诺到位，或在施工期间更换人员资格降低，或未经批准擅自更换</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1分/人次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GLSG2-2-5</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技术负责人在施工期间不低于原人员资格更换</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0.3分/人次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项目法人要求更换的除外</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GLSG2-2-6</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安全员或其他注册执业人员未按投标承诺到位,或无正当理由更换</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0.5分/人次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项目法人要求更换的除外</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GLSG2-2-7</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主要工程管理、技术人员未按投标承诺到位</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0.2分/人次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GLSG2-2-8</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特种人员未按要求持证上岗</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1分/人次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按照有关管理文件、招标文件要求检查</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GLSG2-2-9</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未按规定签订劳务用工合同</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GLSG2-2-10</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养护施工准备不足</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质量管理、进度管理（满分50，扣完为止。行为代码GLSG2-3）</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拒绝或阻碍依法进行公路建设监督检查工作</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4分/次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GLSG2-3-2</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未对职工进行专项教育和培训</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0.5分/人次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GLSG2-3-3</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质量保证体系或质量保证措施不健全</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GLSG2-3-4</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特殊季节施工预防措施不健全</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对季节性施工有特殊预防要求的，如雨季、冬季施工，应有相应预防措施</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GLSG2-3-5</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未建立工程质量责任登记制度</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GLSG2-3-6</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使用不合格的建筑材料、建筑构配件和设备</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GLSG2-3-7</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不按设计图纸施工</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8分/次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GLSG2-3-8</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不按施工技术标准、规范施工</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GLSG2-3-9</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未经监理签认进入下道工序或分项工程</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GLSG2-3-10</w:t>
            </w:r>
          </w:p>
        </w:tc>
        <w:tc>
          <w:tcPr>
            <w:tcW w:w="5632"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未经监理签认将建筑材料、建筑构配件和设备在工程上使用或安装</w:t>
            </w:r>
          </w:p>
        </w:tc>
        <w:tc>
          <w:tcPr>
            <w:tcW w:w="19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1.5分/次</w:t>
            </w:r>
          </w:p>
        </w:tc>
        <w:tc>
          <w:tcPr>
            <w:tcW w:w="2712"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GLSG2-3-11</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监理下达停工指令拒不执行</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GLSG2-3-12</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未对建筑材料、建筑构配件、设备和商品混凝土进行检验，或者未对涉及结构安全的试块、试件以及有关材料取样检测直接使用</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GLSG2-3-13</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施工过程中偷工减料</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GLSG2-3-14</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原材料堆放混乱，对使用质量造成影响</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1.5分/次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如砂石材料堆放未分界、场地未硬化、未采取防雨防潮措施等</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GLSG2-3-15</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工程检查中抽测主体工程质量不合格</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6分/次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指交通主管部门组织的督查或项目法人组织的正式检查</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GLSG2-3-16</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因施工原因出现质量问题，对工程实体质量影响不大</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如水泥混凝土表面蜂窝麻面、砌筑砂浆不饱满、钢筋混凝土保护层不够等</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GLSG2-3-17</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因施工原因发生重大质量责任事故</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8分/次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GLSG2-3-18</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出现质量问题拒不整改、或经整改仍达不到要求的</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被项目法人或交通主管部门发现有质量问题并要求整改，整改不合格的</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GLSG2-3-19</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施工现场管理混乱</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GLSG2-3-20</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内业资料不全或不规范</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4分/次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GLSG2-3-21</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工地试验室不符合要求</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1—3分</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GLSG2-3-22</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试验检测数据或内业资料虚假</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GLSG2-3-23</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因施工单位原因造成工程进度滞后计划工期或合同工期</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0.5分/延迟十日</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GLSG2-3-24</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未达到合同约定的质量标准</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10分</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财务管理（满分10，扣完为止。行为代码GLSG2-4）</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GLSG2-4-1</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财务管理制度不健全</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GLSG2-4-2</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财务管理混乱，管理台帐不完备</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GLSG2-4-3</w:t>
            </w:r>
          </w:p>
        </w:tc>
        <w:tc>
          <w:tcPr>
            <w:tcW w:w="5632"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工程变更弄虚作假</w:t>
            </w:r>
          </w:p>
        </w:tc>
        <w:tc>
          <w:tcPr>
            <w:tcW w:w="19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3分/次</w:t>
            </w:r>
          </w:p>
        </w:tc>
        <w:tc>
          <w:tcPr>
            <w:tcW w:w="2712"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GLSG2-4-4</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虚假计量</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GLSG2-4-5</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流动资金不能满足工程建设</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GLSG2-4-6</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挪用工程款，造成管理混乱、进度滞后等不良影响</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GLSG2-4-7</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因施工企业原因拖欠工程款、农民工工资、材料款，尚未造成影响</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0.5分/次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安全生产（满分20，扣完为止。行为代码GLSG2-5）</w:t>
            </w: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因施工企业原因未签订安全生产合同</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未建立健全安全生产规章制度、操作规程或安全生产保证体系</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GLSG2-5-3</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项目负责人、专职安全生产管理人员、作业人员或者特种作业人员，未经安全教育培训或考核不合格即从事相关工作</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GLSG2-5-4</w:t>
            </w:r>
          </w:p>
        </w:tc>
        <w:tc>
          <w:tcPr>
            <w:tcW w:w="563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未对职工进行安全生产教育和培训，或者未如实告知有关安全生产事项</w:t>
            </w:r>
          </w:p>
        </w:tc>
        <w:tc>
          <w:tcPr>
            <w:tcW w:w="19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GLSG2-5-5</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未在施工现场的危险部位设置明显的安全警示标志和安全防护，或者未按照国家有关规定在施工现场设置消防通道、消防水源、配备消防设施和灭火器材</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GLSG2-5-6</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未向作业人员提供安全防护用具和安全防护服装</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114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GLSG2-5-7</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特种设备未经具有专业资质的机构检测、检验合格，取得安全使用证或者安全标志，投入使用。或使用未经验收或者验收不合格的施工起重机械和整体提升脚手架、模板等自升式架设设施</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GLSG2-5-8</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使用国家明令淘汰、禁止使用的危及生产安全的工艺、设备</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GLSG2-5-9</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储存、使用危险物品，未建立专门安全管理制度、未采取可靠的安全措施或者不接受有关主管部门依法实施的监督管理</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GLSG2-5-10</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对重大危险源未登记建档，或者未进行评估、监控，或者未制定应急预案</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GLSG2-5-11</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进行爆破、吊装等危险作业，未安排专门管理人员进行现场安全管理</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114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GLSG2-5-12</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两个以上单位在同一作业区域内进行可能危及对方安全生产的生产经营活动，因自身原因未签订安全生产管理协议或者未指定专职安全生产管理人员进行安全检查与协调</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1181"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GLSG2-5-13</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储存、使用危险物品的车间、仓库与员工宿舍在同一座建筑内，或者与员工宿舍的距离不符合安全要求；施工现场和员工宿舍未设有符合紧急疏散需要、标志明显、保持畅通的出口，或者封闭、堵塞施工现场或者员工宿舍出口</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GLSG2-5-14</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从业人员不服从管理，违反安全生产规章制度或者操作规程</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GLSG2-5-15</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未及时、如实报告生产安全事故</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GLSG2-5-16</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主要负责人在本单位发生重大生产安全事故时，不立即组织抢救或者在事故调查处理期间擅离职守或者逃匿</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GLSG2-5-17</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挪用列入建设工程概算的安全生产作业环境及安全施工措施所需费用</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GLSG2-5-18</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每项工程实施前，未进行安全生产技术交底</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GLSG2-5-19</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未根据不同施工阶段和周围环境及季节、气候的变化，在施工现场采取相应的安全施工措施</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GLSG2-5-20</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施工现场临时搭建的建筑物不符合安全使用要求</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9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GLSG2-5-21</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对危险性较大的工程未编制专项施工方案并附安全验算结果</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5"/>
              <w:rPr>
                <w:rFonts w:hint="default" w:ascii="Times New Roman" w:hAnsi="Times New Roman" w:eastAsia="仿宋_GB2312" w:cs="Times New Roman"/>
                <w:b w:val="0"/>
                <w:bCs w:val="0"/>
                <w:color w:val="auto"/>
                <w:kern w:val="0"/>
                <w:szCs w:val="21"/>
                <w:highlight w:val="none"/>
              </w:rPr>
            </w:pP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GLSG2-5-22</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未对因建设工程施工可能造成损害的毗邻建筑物、构筑物和地下管线等采取专项防护措施</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GLSG2-5-23</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安全防护用具、机械设备、施工机具及配件在进入施工现场前未经查验或者查验不合格即投入使用</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GLSG2-5-24</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委托不具有相应资质的单位承担施工现场安装、拆卸施工起重机械和整体提升脚手架、模板等自升式架设设施</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GLSG2-5-25</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未取得安全生产许可证擅自进行生产，安全生产许可证有效期满未办理延期手续，继续进行生产；逾期仍不办理延期手续，继续进行生产</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GLSG2-5-26</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使用伪造的安全生产许可证</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85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GLSG2-5-27</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多次整改仍然存在安全问题；对存在重大安全事故隐患但拒绝整改或者整改效果不明显</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被项目法人或交通主管部门发现有安全生产问题并要求整改，整改不合格的</w:t>
            </w:r>
          </w:p>
        </w:tc>
      </w:tr>
      <w:tr>
        <w:tblPrEx>
          <w:tblCellMar>
            <w:top w:w="0" w:type="dxa"/>
            <w:left w:w="108" w:type="dxa"/>
            <w:bottom w:w="0" w:type="dxa"/>
            <w:right w:w="108" w:type="dxa"/>
          </w:tblCellMar>
        </w:tblPrEx>
        <w:trPr>
          <w:trHeight w:val="613"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GLSG2-5-28</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在沿</w:t>
            </w:r>
            <w:r>
              <w:rPr>
                <w:rFonts w:hint="default" w:ascii="Times New Roman" w:hAnsi="Times New Roman" w:eastAsia="仿宋_GB2312" w:cs="Times New Roman"/>
                <w:b w:val="0"/>
                <w:bCs w:val="0"/>
                <w:color w:val="auto"/>
                <w:kern w:val="0"/>
                <w:szCs w:val="21"/>
                <w:highlight w:val="none"/>
                <w:lang w:eastAsia="zh-CN"/>
              </w:rPr>
              <w:t>河</w:t>
            </w:r>
            <w:r>
              <w:rPr>
                <w:rFonts w:hint="default" w:ascii="Times New Roman" w:hAnsi="Times New Roman" w:eastAsia="仿宋_GB2312" w:cs="Times New Roman"/>
                <w:b w:val="0"/>
                <w:bCs w:val="0"/>
                <w:color w:val="auto"/>
                <w:kern w:val="0"/>
                <w:szCs w:val="21"/>
                <w:highlight w:val="none"/>
              </w:rPr>
              <w:t>水域进行水上水下施工以及划定相应的安全作业区，</w:t>
            </w:r>
            <w:r>
              <w:rPr>
                <w:rFonts w:hint="default" w:ascii="Times New Roman" w:hAnsi="Times New Roman" w:eastAsia="仿宋_GB2312" w:cs="Times New Roman"/>
                <w:b w:val="0"/>
                <w:bCs w:val="0"/>
                <w:color w:val="auto"/>
                <w:spacing w:val="-10"/>
                <w:kern w:val="0"/>
                <w:szCs w:val="21"/>
                <w:highlight w:val="none"/>
              </w:rPr>
              <w:t>未报经主管机关核准公告；施工单位擅自扩大安全作业区范围</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GLSG2-5-29</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施工现场防护不到位，存在安全隐患</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0.5分/次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GLSG2-5-30</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未编制安全生产应急预案并落实人员、器材，组织演练</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GLSG2-5-31</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发生一般安全生产责任事故</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GLSG2-5-32</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未办理施工现场人员人身意外伤害保险</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57"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社会责任（满分10，扣完为止。行为代码GLSG2-6）</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GLSG2-6-1</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pacing w:val="-10"/>
                <w:kern w:val="0"/>
                <w:szCs w:val="21"/>
                <w:highlight w:val="none"/>
              </w:rPr>
            </w:pPr>
            <w:r>
              <w:rPr>
                <w:rFonts w:hint="default" w:ascii="Times New Roman" w:hAnsi="Times New Roman" w:eastAsia="仿宋_GB2312" w:cs="Times New Roman"/>
                <w:b w:val="0"/>
                <w:bCs w:val="0"/>
                <w:color w:val="auto"/>
                <w:spacing w:val="-10"/>
                <w:kern w:val="0"/>
                <w:szCs w:val="21"/>
                <w:highlight w:val="none"/>
              </w:rPr>
              <w:t>在崩塌滑坡危险区、泥石流易发区范围内取土、挖砂或者采石</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GLSG2-6-2</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施工产生的废渣随意堆放或丢弃，废水随意排放</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GLSG2-6-3</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施工中破坏生态环境</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3分/次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GLSG2-6-4</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xml:space="preserve">施工过程中造成水土流失，不进行治理 </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GLSG2-6-5</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生活区、办公区设置杂乱，卫生环境差</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GLSG2-6-6</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建设项目出现突发事件，拒不执行应急或救援任务</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GLSG2-6-7</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乱占土地、草场</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GLSG2-6-8</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临时占用农田、林地等未及时复垦或恢复原状</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GLSG2-6-9</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未按要求签订廉政合同</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2.5分/次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GLSG2-6-10</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违反廉政合同</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5分/人次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GLSG2-6-11</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与养护相关方协调配合力度不够</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4分/次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r>
      <w:tr>
        <w:tblPrEx>
          <w:tblCellMar>
            <w:top w:w="0" w:type="dxa"/>
            <w:left w:w="108" w:type="dxa"/>
            <w:bottom w:w="0" w:type="dxa"/>
            <w:right w:w="108" w:type="dxa"/>
          </w:tblCellMar>
        </w:tblPrEx>
        <w:trPr>
          <w:trHeight w:val="285"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GLSG2-6-12</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应急抢险准备不足，抢险工作动作迟缓</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4分/次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r>
      <w:tr>
        <w:tblPrEx>
          <w:tblCellMar>
            <w:top w:w="0" w:type="dxa"/>
            <w:left w:w="108" w:type="dxa"/>
            <w:bottom w:w="0" w:type="dxa"/>
            <w:right w:w="108" w:type="dxa"/>
          </w:tblCellMar>
        </w:tblPrEx>
        <w:trPr>
          <w:trHeight w:val="1014" w:hRule="atLeast"/>
          <w:jc w:val="center"/>
        </w:trPr>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GLSG2-6-13</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因养护施工原因造成严重堵车</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4分/次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w:t>
            </w:r>
          </w:p>
        </w:tc>
      </w:tr>
      <w:tr>
        <w:tblPrEx>
          <w:tblCellMar>
            <w:top w:w="0" w:type="dxa"/>
            <w:left w:w="108" w:type="dxa"/>
            <w:bottom w:w="0" w:type="dxa"/>
            <w:right w:w="108" w:type="dxa"/>
          </w:tblCellMar>
        </w:tblPrEx>
        <w:trPr>
          <w:trHeight w:val="570" w:hRule="atLeast"/>
          <w:jc w:val="center"/>
        </w:trPr>
        <w:tc>
          <w:tcPr>
            <w:tcW w:w="261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其它行为（行为代码GLSG3）</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val="0"/>
                <w:bCs w:val="0"/>
                <w:color w:val="auto"/>
                <w:kern w:val="0"/>
                <w:szCs w:val="21"/>
                <w:highlight w:val="none"/>
                <w:lang w:eastAsia="zh-CN"/>
              </w:rPr>
            </w:pPr>
            <w:r>
              <w:rPr>
                <w:rFonts w:hint="default" w:ascii="Times New Roman" w:hAnsi="Times New Roman" w:eastAsia="仿宋_GB2312" w:cs="Times New Roman"/>
                <w:b w:val="0"/>
                <w:bCs w:val="0"/>
                <w:color w:val="auto"/>
                <w:kern w:val="0"/>
                <w:szCs w:val="21"/>
                <w:highlight w:val="none"/>
              </w:rPr>
              <w:t>GLSG3-</w:t>
            </w:r>
            <w:r>
              <w:rPr>
                <w:rFonts w:hint="eastAsia" w:ascii="Times New Roman" w:hAnsi="Times New Roman" w:eastAsia="仿宋_GB2312" w:cs="Times New Roman"/>
                <w:b w:val="0"/>
                <w:bCs w:val="0"/>
                <w:color w:val="auto"/>
                <w:kern w:val="0"/>
                <w:szCs w:val="21"/>
                <w:highlight w:val="none"/>
                <w:lang w:val="en-US" w:eastAsia="zh-CN"/>
              </w:rPr>
              <w:t>1</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省级及以上交通运输主管部门要求企业填报向社会公布的信息，存在虚假的</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在企业总分中扣除</w:t>
            </w:r>
          </w:p>
        </w:tc>
      </w:tr>
      <w:tr>
        <w:tblPrEx>
          <w:tblCellMar>
            <w:top w:w="0" w:type="dxa"/>
            <w:left w:w="108" w:type="dxa"/>
            <w:bottom w:w="0" w:type="dxa"/>
            <w:right w:w="108" w:type="dxa"/>
          </w:tblCellMar>
        </w:tblPrEx>
        <w:trPr>
          <w:trHeight w:val="570" w:hRule="atLeast"/>
          <w:jc w:val="center"/>
        </w:trPr>
        <w:tc>
          <w:tcPr>
            <w:tcW w:w="2615" w:type="dxa"/>
            <w:gridSpan w:val="2"/>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szCs w:val="24"/>
                <w:highlight w:val="none"/>
                <w:lang w:val="en-US" w:eastAsia="zh-CN" w:bidi="ar-SA"/>
              </w:rPr>
            </w:pPr>
            <w:r>
              <w:rPr>
                <w:rFonts w:hint="default" w:ascii="Times New Roman" w:hAnsi="Times New Roman" w:eastAsia="仿宋_GB2312" w:cs="Times New Roman"/>
                <w:b w:val="0"/>
                <w:bCs w:val="0"/>
                <w:color w:val="auto"/>
                <w:kern w:val="0"/>
                <w:szCs w:val="21"/>
                <w:highlight w:val="none"/>
              </w:rPr>
              <w:t>GLSG3-2</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szCs w:val="24"/>
                <w:highlight w:val="none"/>
                <w:lang w:val="en-US" w:eastAsia="zh-CN" w:bidi="ar-SA"/>
              </w:rPr>
            </w:pPr>
            <w:r>
              <w:rPr>
                <w:rFonts w:hint="default" w:ascii="Times New Roman" w:hAnsi="Times New Roman" w:eastAsia="仿宋_GB2312" w:cs="Times New Roman"/>
                <w:b w:val="0"/>
                <w:bCs w:val="0"/>
                <w:color w:val="auto"/>
                <w:kern w:val="0"/>
                <w:sz w:val="20"/>
                <w:highlight w:val="none"/>
              </w:rPr>
              <w:t>在资质申报、延续、变更等过程中弄虚作假</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szCs w:val="24"/>
                <w:highlight w:val="none"/>
                <w:lang w:val="en-US" w:eastAsia="zh-CN" w:bidi="ar-SA"/>
              </w:rPr>
            </w:pPr>
            <w:r>
              <w:rPr>
                <w:rFonts w:hint="default" w:ascii="Times New Roman" w:hAnsi="Times New Roman" w:eastAsia="仿宋_GB2312" w:cs="Times New Roman"/>
                <w:b w:val="0"/>
                <w:bCs w:val="0"/>
                <w:color w:val="auto"/>
                <w:kern w:val="0"/>
                <w:sz w:val="20"/>
                <w:highlight w:val="none"/>
              </w:rPr>
              <w:t>10分/项次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szCs w:val="24"/>
                <w:highlight w:val="none"/>
                <w:lang w:val="en-US" w:eastAsia="zh-CN" w:bidi="ar-SA"/>
              </w:rPr>
            </w:pPr>
            <w:r>
              <w:rPr>
                <w:rFonts w:hint="default" w:ascii="Times New Roman" w:hAnsi="Times New Roman" w:eastAsia="仿宋_GB2312" w:cs="Times New Roman"/>
                <w:b w:val="0"/>
                <w:bCs w:val="0"/>
                <w:color w:val="auto"/>
                <w:kern w:val="0"/>
                <w:sz w:val="20"/>
                <w:highlight w:val="none"/>
              </w:rPr>
              <w:t>在省级综合评价中扣除</w:t>
            </w:r>
          </w:p>
        </w:tc>
      </w:tr>
      <w:tr>
        <w:tblPrEx>
          <w:tblCellMar>
            <w:top w:w="0" w:type="dxa"/>
            <w:left w:w="108" w:type="dxa"/>
            <w:bottom w:w="0" w:type="dxa"/>
            <w:right w:w="108" w:type="dxa"/>
          </w:tblCellMar>
        </w:tblPrEx>
        <w:trPr>
          <w:trHeight w:val="427" w:hRule="atLeast"/>
          <w:jc w:val="center"/>
        </w:trPr>
        <w:tc>
          <w:tcPr>
            <w:tcW w:w="26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GLSG3-3</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信用评价弄虚作假或以不正当手段骗取较高信用等级</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在企业总分中扣除</w:t>
            </w:r>
          </w:p>
        </w:tc>
      </w:tr>
      <w:tr>
        <w:tblPrEx>
          <w:tblCellMar>
            <w:top w:w="0" w:type="dxa"/>
            <w:left w:w="108" w:type="dxa"/>
            <w:bottom w:w="0" w:type="dxa"/>
            <w:right w:w="108" w:type="dxa"/>
          </w:tblCellMar>
        </w:tblPrEx>
        <w:trPr>
          <w:trHeight w:val="570" w:hRule="atLeast"/>
          <w:jc w:val="center"/>
        </w:trPr>
        <w:tc>
          <w:tcPr>
            <w:tcW w:w="26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GLSG3-4</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恶意拖欠工程款、农民工工资、材料款被司法机关强制执行，或因拖欠问题造成群体事件或不良社会影响</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在企业总分中扣除</w:t>
            </w:r>
          </w:p>
        </w:tc>
      </w:tr>
      <w:tr>
        <w:tblPrEx>
          <w:tblCellMar>
            <w:top w:w="0" w:type="dxa"/>
            <w:left w:w="108" w:type="dxa"/>
            <w:bottom w:w="0" w:type="dxa"/>
            <w:right w:w="108" w:type="dxa"/>
          </w:tblCellMar>
        </w:tblPrEx>
        <w:trPr>
          <w:trHeight w:val="457" w:hRule="atLeast"/>
          <w:jc w:val="center"/>
        </w:trPr>
        <w:tc>
          <w:tcPr>
            <w:tcW w:w="26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GLSG3-5</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被交通综合执法部门行政处罚</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在企业总分中扣除</w:t>
            </w:r>
          </w:p>
        </w:tc>
      </w:tr>
      <w:tr>
        <w:tblPrEx>
          <w:tblCellMar>
            <w:top w:w="0" w:type="dxa"/>
            <w:left w:w="108" w:type="dxa"/>
            <w:bottom w:w="0" w:type="dxa"/>
            <w:right w:w="108" w:type="dxa"/>
          </w:tblCellMar>
        </w:tblPrEx>
        <w:trPr>
          <w:trHeight w:val="351" w:hRule="atLeast"/>
          <w:jc w:val="center"/>
        </w:trPr>
        <w:tc>
          <w:tcPr>
            <w:tcW w:w="26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GLSG3-6</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被设区的市级交通运输主管部门通报批评</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在企业总分中扣除</w:t>
            </w:r>
          </w:p>
        </w:tc>
      </w:tr>
      <w:tr>
        <w:tblPrEx>
          <w:tblCellMar>
            <w:top w:w="0" w:type="dxa"/>
            <w:left w:w="108" w:type="dxa"/>
            <w:bottom w:w="0" w:type="dxa"/>
            <w:right w:w="108" w:type="dxa"/>
          </w:tblCellMar>
        </w:tblPrEx>
        <w:trPr>
          <w:trHeight w:val="387" w:hRule="atLeast"/>
          <w:jc w:val="center"/>
        </w:trPr>
        <w:tc>
          <w:tcPr>
            <w:tcW w:w="26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GLSG3-7</w:t>
            </w:r>
          </w:p>
        </w:tc>
        <w:tc>
          <w:tcPr>
            <w:tcW w:w="56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被省级交通运输主管部门通报批评</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2分/次</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在企业总分中扣除</w:t>
            </w:r>
          </w:p>
        </w:tc>
      </w:tr>
      <w:tr>
        <w:tblPrEx>
          <w:tblCellMar>
            <w:top w:w="0" w:type="dxa"/>
            <w:left w:w="108" w:type="dxa"/>
            <w:bottom w:w="0" w:type="dxa"/>
            <w:right w:w="108" w:type="dxa"/>
          </w:tblCellMar>
        </w:tblPrEx>
        <w:trPr>
          <w:trHeight w:val="630" w:hRule="atLeast"/>
          <w:jc w:val="center"/>
        </w:trPr>
        <w:tc>
          <w:tcPr>
            <w:tcW w:w="14360" w:type="dxa"/>
            <w:gridSpan w:val="6"/>
            <w:tcBorders>
              <w:top w:val="single" w:color="auto" w:sz="4" w:space="0"/>
              <w:left w:val="nil"/>
              <w:bottom w:val="nil"/>
              <w:right w:val="nil"/>
            </w:tcBorders>
            <w:noWrap/>
            <w:vAlign w:val="center"/>
          </w:tcPr>
          <w:p>
            <w:pPr>
              <w:widowControl/>
              <w:jc w:val="left"/>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备注： 从业单位按照整改通知书及时整改并报告的，不作为扣分依据。</w:t>
            </w:r>
          </w:p>
          <w:p>
            <w:pPr>
              <w:widowControl/>
              <w:jc w:val="left"/>
              <w:rPr>
                <w:rFonts w:hint="default" w:ascii="Times New Roman" w:hAnsi="Times New Roman" w:eastAsia="仿宋" w:cs="Times New Roman"/>
                <w:b w:val="0"/>
                <w:bCs w:val="0"/>
                <w:color w:val="auto"/>
                <w:kern w:val="0"/>
                <w:szCs w:val="21"/>
                <w:highlight w:val="none"/>
              </w:rPr>
            </w:pPr>
          </w:p>
          <w:p>
            <w:pPr>
              <w:widowControl/>
              <w:jc w:val="left"/>
              <w:rPr>
                <w:rFonts w:hint="default" w:ascii="Times New Roman" w:hAnsi="Times New Roman" w:eastAsia="仿宋" w:cs="Times New Roman"/>
                <w:b w:val="0"/>
                <w:bCs w:val="0"/>
                <w:color w:val="auto"/>
                <w:kern w:val="0"/>
                <w:szCs w:val="21"/>
                <w:highlight w:val="none"/>
              </w:rPr>
            </w:pPr>
          </w:p>
          <w:p>
            <w:pPr>
              <w:widowControl/>
              <w:jc w:val="left"/>
              <w:rPr>
                <w:rFonts w:hint="default" w:ascii="Times New Roman" w:hAnsi="Times New Roman" w:eastAsia="仿宋" w:cs="Times New Roman"/>
                <w:b w:val="0"/>
                <w:bCs w:val="0"/>
                <w:color w:val="auto"/>
                <w:kern w:val="0"/>
                <w:szCs w:val="21"/>
                <w:highlight w:val="none"/>
              </w:rPr>
            </w:pPr>
          </w:p>
          <w:p>
            <w:pPr>
              <w:widowControl/>
              <w:jc w:val="left"/>
              <w:rPr>
                <w:rFonts w:hint="default" w:ascii="Times New Roman" w:hAnsi="Times New Roman" w:eastAsia="仿宋" w:cs="Times New Roman"/>
                <w:b w:val="0"/>
                <w:bCs w:val="0"/>
                <w:color w:val="auto"/>
                <w:kern w:val="0"/>
                <w:szCs w:val="21"/>
                <w:highlight w:val="none"/>
              </w:rPr>
            </w:pPr>
          </w:p>
          <w:p>
            <w:pPr>
              <w:widowControl/>
              <w:jc w:val="left"/>
              <w:rPr>
                <w:rFonts w:hint="default" w:ascii="Times New Roman" w:hAnsi="Times New Roman" w:eastAsia="仿宋" w:cs="Times New Roman"/>
                <w:b w:val="0"/>
                <w:bCs w:val="0"/>
                <w:color w:val="auto"/>
                <w:kern w:val="0"/>
                <w:szCs w:val="21"/>
                <w:highlight w:val="none"/>
              </w:rPr>
            </w:pPr>
          </w:p>
          <w:p>
            <w:pPr>
              <w:widowControl/>
              <w:jc w:val="left"/>
              <w:rPr>
                <w:rFonts w:hint="default" w:ascii="Times New Roman" w:hAnsi="Times New Roman" w:eastAsia="仿宋" w:cs="Times New Roman"/>
                <w:b w:val="0"/>
                <w:bCs w:val="0"/>
                <w:color w:val="auto"/>
                <w:kern w:val="0"/>
                <w:szCs w:val="21"/>
                <w:highlight w:val="none"/>
              </w:rPr>
            </w:pPr>
          </w:p>
          <w:p>
            <w:pPr>
              <w:widowControl/>
              <w:jc w:val="left"/>
              <w:rPr>
                <w:rFonts w:hint="default" w:ascii="Times New Roman" w:hAnsi="Times New Roman" w:eastAsia="仿宋" w:cs="Times New Roman"/>
                <w:b w:val="0"/>
                <w:bCs w:val="0"/>
                <w:color w:val="auto"/>
                <w:kern w:val="0"/>
                <w:szCs w:val="21"/>
                <w:highlight w:val="none"/>
              </w:rPr>
            </w:pPr>
          </w:p>
          <w:p>
            <w:pPr>
              <w:widowControl/>
              <w:jc w:val="left"/>
              <w:rPr>
                <w:rFonts w:hint="default" w:ascii="Times New Roman" w:hAnsi="Times New Roman" w:eastAsia="仿宋" w:cs="Times New Roman"/>
                <w:b w:val="0"/>
                <w:bCs w:val="0"/>
                <w:color w:val="auto"/>
                <w:kern w:val="0"/>
                <w:szCs w:val="21"/>
                <w:highlight w:val="none"/>
              </w:rPr>
            </w:pPr>
          </w:p>
        </w:tc>
      </w:tr>
    </w:tbl>
    <w:p>
      <w:pPr>
        <w:jc w:val="center"/>
        <w:rPr>
          <w:rFonts w:hint="default" w:ascii="Times New Roman" w:hAnsi="Times New Roman" w:eastAsia="黑体" w:cs="Times New Roman"/>
          <w:b w:val="0"/>
          <w:bCs w:val="0"/>
          <w:color w:val="auto"/>
          <w:sz w:val="32"/>
          <w:szCs w:val="32"/>
          <w:highlight w:val="none"/>
        </w:rPr>
      </w:pPr>
    </w:p>
    <w:p>
      <w:pPr>
        <w:pStyle w:val="2"/>
        <w:rPr>
          <w:rFonts w:hint="default" w:ascii="Times New Roman" w:hAnsi="Times New Roman" w:eastAsia="黑体" w:cs="Times New Roman"/>
          <w:b w:val="0"/>
          <w:bCs w:val="0"/>
          <w:color w:val="auto"/>
          <w:sz w:val="32"/>
          <w:szCs w:val="32"/>
          <w:highlight w:val="none"/>
        </w:rPr>
      </w:pPr>
    </w:p>
    <w:p>
      <w:pPr>
        <w:pStyle w:val="4"/>
        <w:rPr>
          <w:rFonts w:hint="default" w:ascii="Times New Roman" w:hAnsi="Times New Roman" w:eastAsia="宋体" w:cs="Times New Roman"/>
          <w:bCs w:val="0"/>
          <w:color w:val="auto"/>
          <w:sz w:val="30"/>
          <w:szCs w:val="24"/>
          <w:highlight w:val="none"/>
        </w:rPr>
      </w:pPr>
    </w:p>
    <w:p>
      <w:pPr>
        <w:jc w:val="center"/>
        <w:rPr>
          <w:rFonts w:hint="default" w:ascii="Times New Roman" w:hAnsi="Times New Roman" w:cs="Times New Roman"/>
          <w:b w:val="0"/>
          <w:bCs w:val="0"/>
          <w:color w:val="auto"/>
          <w:sz w:val="32"/>
          <w:szCs w:val="32"/>
          <w:highlight w:val="none"/>
        </w:rPr>
      </w:pPr>
      <w:r>
        <w:rPr>
          <w:rFonts w:hint="default" w:ascii="Times New Roman" w:hAnsi="Times New Roman" w:eastAsia="方正小标宋_GBK" w:cs="Times New Roman"/>
          <w:b w:val="0"/>
          <w:bCs w:val="0"/>
          <w:color w:val="auto"/>
          <w:sz w:val="44"/>
          <w:szCs w:val="44"/>
          <w:highlight w:val="none"/>
        </w:rPr>
        <w:t>养护工程设计从业单位扣分标准</w:t>
      </w:r>
      <w:r>
        <w:rPr>
          <w:rFonts w:hint="default" w:ascii="Times New Roman" w:hAnsi="Times New Roman" w:cs="Times New Roman"/>
          <w:b w:val="0"/>
          <w:bCs w:val="0"/>
          <w:color w:val="auto"/>
          <w:highlight w:val="none"/>
        </w:rPr>
        <w:t xml:space="preserve">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1591"/>
        <w:gridCol w:w="1237"/>
        <w:gridCol w:w="1150"/>
        <w:gridCol w:w="5382"/>
        <w:gridCol w:w="144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c>
          <w:tcPr>
            <w:tcW w:w="2828"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exact"/>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评定内容</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行为代码</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失信行为</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行为等级和扣分标准</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75" w:hRule="atLeast"/>
        </w:trPr>
        <w:tc>
          <w:tcPr>
            <w:tcW w:w="1591"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履约行为（满分100，扣完为止。行为代码GLSJ2</w:t>
            </w:r>
          </w:p>
        </w:tc>
        <w:tc>
          <w:tcPr>
            <w:tcW w:w="12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人员到位（满分25，扣完为止。行为代码GLSJ2-2）</w:t>
            </w:r>
          </w:p>
          <w:p>
            <w:pPr>
              <w:spacing w:line="240" w:lineRule="exact"/>
              <w:jc w:val="center"/>
              <w:rPr>
                <w:rFonts w:hint="default" w:ascii="Times New Roman" w:hAnsi="Times New Roman" w:eastAsia="仿宋_GB2312" w:cs="Times New Roman"/>
                <w:b w:val="0"/>
                <w:bCs w:val="0"/>
                <w:color w:val="auto"/>
                <w:kern w:val="0"/>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GLSJ2-2-1</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投标书承诺的项目负责人未经同意更换</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12分/人次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24"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GLSJ2-2-2</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投标书承诺的其它专业负责人未经同意更换</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6分/人次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95"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GLSJ2-2-3</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设计人员不具备相应执业资格条件</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5分/人次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91"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GLSJ2-2-4</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投标书承诺的施工期设计代表未经同意更换</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Cs w:val="21"/>
                <w:highlight w:val="none"/>
              </w:rPr>
              <w:t>6分/人次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GLSJ2-2-5</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施工期设计代表因自身过失原因被更换</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12分/人次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02"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进度管理（满分15，扣完为止。行为代码GLSJ2-3）</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GLSJ2-3-1</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因勘察设计原因未按合同约定时间提交设计文件成果</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12分/次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63"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GLSJ2-3-2</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因自身原因未按合同约定开展外业工作或因自身原因提交外业成果的时间不满足合同规定或设计要求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10分/次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52"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GLSJ2-3-3</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因勘察设计进度原因，引起项目推迟开工</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10分/次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99"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GLSJ2-3-4</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因后期服务原因，引起工期延误</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10分/次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4"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GLSJ2-3-5</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因自身原因未按时参加交（竣）工验收或工程质量事故分析</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6分/次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65"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成果质量（满分30，扣完为止。行为代码GLSJ2-4）</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GLSJ2-4-1</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因勘察设计原因引起一般质量事故或较大安全事故</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20分/次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19"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GLSJ2-4-2</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因勘察设计原因引起一般质量问题或一般安全事故</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13分/次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65"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GLSJ2-4-3</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因设计原因，项目各阶段设计投资额度超过上一阶段批准投资额的允许偏差范围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4"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GLSJ2-4-4</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成果文件不满足有关主管部门批复意见和强制性标准要求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10分/项次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45"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GLSJ2-4-5</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成果文件不满足勘察设计深度要求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5分/项次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单次审查、验收或检查为一次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7"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GLSJ2-4-6</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签章不全、未授权代签或借用他人资格签章</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5分/项次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9"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GLSJ2-4-7</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对批复意见或审查意见的技术方案未落实</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5分/项次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98"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GLSJ2-4-8</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因勘察设计原因，引起重大设计变更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20分/项次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15"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GLSJ2-4-9</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因勘察设计原因，引起较大设计变更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13分/次</w:t>
            </w: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1"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其他失信行为（满分30，扣完为止。行为代码GLSJ2-5）</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GLSJ2-5-1</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在设计或设计变更中，违规谋取非法利益</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30分/次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9"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GLSJ2-5-2</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未按合同规定进行地质勘察</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30分/次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GLSJ2-5-3</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设计文件未落实环保要求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30分/次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17"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GLSJ2-5-4</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地质勘察时间滞后，地质勘察成果未利用</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20分/次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65"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GLSJ2-5-5</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地质勘察深度不足</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20分/次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单次审查、验收或检查为一次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92"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GLSJ2-5-6</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设计单位指定建筑材料生产厂家、供应商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11"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GLSJ2-5-7</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提供虚假地质勘察资料的</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10分/项次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GLSJ2-5-8</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发生廉政事件但未触犯刑事法律</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8分/次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1591"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237"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GLSJ2-5-9</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勘察设计工作大纲及实施细则未落实</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6分/项次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3" w:hRule="atLeast"/>
        </w:trPr>
        <w:tc>
          <w:tcPr>
            <w:tcW w:w="15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其他行为（行为代码GLSJ3</w:t>
            </w:r>
          </w:p>
        </w:tc>
        <w:tc>
          <w:tcPr>
            <w:tcW w:w="12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20"/>
                <w:highlight w:val="none"/>
              </w:rPr>
              <w:t>其他失信行为（行为代码GLSJ3-2）</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GLSJ3-2-1</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进行虚假投诉</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20分/次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单个合同段单次投诉举报为1次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8" w:hRule="atLeast"/>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GLSJ3-2-2</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信用评价弄虚作假或以不正当手段骗取较高信用等级</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15分/次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8" w:hRule="atLeast"/>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GLSJ3-2-3</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在资质申报、延续、变更等过程中弄虚作假</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10分/项次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在省级综合评价中扣除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8" w:hRule="atLeast"/>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GLSJ3-2-4</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省级及以上交通运输主管部门要求企业填报向社会公布的信息，存在虚假的</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10分/项次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在省级综合评价中扣除，单个人员、设备、业绩等信息为1项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8" w:hRule="atLeast"/>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GLSJ3-2-5</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被国务院交通运输主管部门通报批评</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15分/次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在全国综合评价中扣除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8" w:hRule="atLeast"/>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GLSJ3-2-6</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被省级交通运输主管部门通报批评</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10分/次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在相应省份省级综合评价中扣除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8" w:hRule="atLeast"/>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2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sz w:val="32"/>
                <w:szCs w:val="3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GLSJ3-2-7</w:t>
            </w:r>
          </w:p>
        </w:tc>
        <w:tc>
          <w:tcPr>
            <w:tcW w:w="538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被设区的市级交通运输主管部门通报批评</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5分/次</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cs="Times New Roman"/>
                <w:b w:val="0"/>
                <w:bCs w:val="0"/>
                <w:color w:val="auto"/>
                <w:kern w:val="0"/>
                <w:sz w:val="20"/>
                <w:highlight w:val="none"/>
              </w:rPr>
            </w:pPr>
            <w:r>
              <w:rPr>
                <w:rFonts w:hint="default" w:ascii="Times New Roman" w:hAnsi="Times New Roman" w:eastAsia="仿宋_GB2312" w:cs="Times New Roman"/>
                <w:b w:val="0"/>
                <w:bCs w:val="0"/>
                <w:color w:val="auto"/>
                <w:kern w:val="0"/>
                <w:sz w:val="20"/>
                <w:highlight w:val="none"/>
              </w:rPr>
              <w:t>在相应省份省级综合评价中扣除</w:t>
            </w:r>
          </w:p>
        </w:tc>
      </w:tr>
    </w:tbl>
    <w:p>
      <w:pPr>
        <w:spacing w:line="400" w:lineRule="exact"/>
        <w:rPr>
          <w:rFonts w:hint="default" w:ascii="Times New Roman" w:hAnsi="Times New Roman" w:cs="Times New Roman"/>
          <w:b w:val="0"/>
          <w:bCs w:val="0"/>
          <w:color w:val="auto"/>
          <w:sz w:val="24"/>
          <w:highlight w:val="none"/>
        </w:rPr>
      </w:pPr>
      <w:r>
        <w:rPr>
          <w:rFonts w:hint="default" w:ascii="Times New Roman" w:hAnsi="Times New Roman" w:eastAsia="仿宋_GB2312" w:cs="Times New Roman"/>
          <w:b w:val="0"/>
          <w:bCs w:val="0"/>
          <w:color w:val="auto"/>
          <w:kern w:val="0"/>
          <w:sz w:val="24"/>
          <w:highlight w:val="none"/>
        </w:rPr>
        <w:t>备注： 从业单位按照整改通知书及时整改并报告的，不作为扣分依据。</w:t>
      </w:r>
    </w:p>
    <w:p>
      <w:pPr>
        <w:spacing w:line="600" w:lineRule="exact"/>
        <w:ind w:firstLine="640" w:firstLineChars="200"/>
        <w:rPr>
          <w:rFonts w:hint="default" w:ascii="Times New Roman" w:hAnsi="Times New Roman" w:eastAsia="仿宋_GB2312" w:cs="Times New Roman"/>
          <w:b w:val="0"/>
          <w:bCs w:val="0"/>
          <w:color w:val="auto"/>
          <w:sz w:val="32"/>
          <w:szCs w:val="32"/>
          <w:highlight w:val="none"/>
        </w:rPr>
        <w:sectPr>
          <w:pgSz w:w="16838" w:h="11906" w:orient="landscape"/>
          <w:pgMar w:top="2098" w:right="1531" w:bottom="1701" w:left="1531" w:header="851" w:footer="992" w:gutter="0"/>
          <w:cols w:space="720" w:num="1"/>
          <w:docGrid w:type="lines" w:linePitch="312" w:charSpace="0"/>
        </w:sectPr>
      </w:pPr>
    </w:p>
    <w:p>
      <w:pPr>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 xml:space="preserve">养护工程工程监理从业单位扣分标准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614"/>
        <w:gridCol w:w="1473"/>
        <w:gridCol w:w="4874"/>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29"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序号</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失信行为</w:t>
            </w:r>
          </w:p>
          <w:p>
            <w:pPr>
              <w:spacing w:line="280" w:lineRule="exact"/>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代码</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失信行为</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信用等级或扣分标准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57"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JJX101001</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将不合格的工程、工序、建筑材料、建筑构配件或设备按照合格签字的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36"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2</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JJX10102</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在一般质量事故或安全事故中，监理负有主要责任的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28"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3</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JJX10103</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kern w:val="0"/>
                <w:szCs w:val="21"/>
                <w:highlight w:val="none"/>
              </w:rPr>
              <w:t>在环保事件中负有责任的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10</w:t>
            </w:r>
            <w:r>
              <w:rPr>
                <w:rFonts w:hint="default" w:ascii="Times New Roman" w:hAnsi="Times New Roman" w:eastAsia="仿宋_GB2312" w:cs="Times New Roman"/>
                <w:b w:val="0"/>
                <w:bCs w:val="0"/>
                <w:color w:val="auto"/>
                <w:kern w:val="0"/>
                <w:szCs w:val="21"/>
                <w:highlight w:val="none"/>
              </w:rPr>
              <w:t>～15</w:t>
            </w:r>
            <w:r>
              <w:rPr>
                <w:rFonts w:hint="default" w:ascii="Times New Roman" w:hAnsi="Times New Roman" w:eastAsia="仿宋_GB2312" w:cs="Times New Roman"/>
                <w:b w:val="0"/>
                <w:bCs w:val="0"/>
                <w:color w:val="auto"/>
                <w:szCs w:val="21"/>
                <w:highlight w:val="none"/>
              </w:rPr>
              <w:t>分∕次</w:t>
            </w:r>
          </w:p>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kern w:val="0"/>
                <w:szCs w:val="21"/>
                <w:highlight w:val="none"/>
              </w:rPr>
              <w:t>（视责任程度扣）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57"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4</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JJX10104</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被地（市）级及以上交通主管部门、质量监督机构或相关部门通报批评的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57"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5</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JJX10105</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未按投标承诺的条件配备总监、副总监、驻地监理工程师、总监代表的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5分∕人次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19"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6</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JJX10106</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监理人员编造《监理日志》的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57"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7</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JJX10107</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存在假数据、假资料问题的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3分∕项次（项指检查指标项，次指检查次数）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57"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8</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JJX10108</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派驻到工程建设项目上的监理工程师未进行岗位登记的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2分/人次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57"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9</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JJX10109</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监理人员使用假监理工程师或专业监理工程师资格证书的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2分∕人次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34"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10</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JJX101010</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未按合同约定办理调换手续而调换监理工程师的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95"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11</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JJX101011</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监理人员有</w:t>
            </w:r>
            <w:r>
              <w:rPr>
                <w:rFonts w:hint="eastAsia" w:ascii="Times New Roman" w:hAnsi="Times New Roman" w:eastAsia="仿宋_GB2312" w:cs="Times New Roman"/>
                <w:b w:val="0"/>
                <w:bCs w:val="0"/>
                <w:color w:val="auto"/>
                <w:szCs w:val="21"/>
                <w:highlight w:val="none"/>
                <w:lang w:eastAsia="zh-CN"/>
              </w:rPr>
              <w:t>“</w:t>
            </w:r>
            <w:r>
              <w:rPr>
                <w:rFonts w:hint="default" w:ascii="Times New Roman" w:hAnsi="Times New Roman" w:eastAsia="仿宋_GB2312" w:cs="Times New Roman"/>
                <w:b w:val="0"/>
                <w:bCs w:val="0"/>
                <w:color w:val="auto"/>
                <w:szCs w:val="21"/>
                <w:highlight w:val="none"/>
              </w:rPr>
              <w:t>吃拿卡要</w:t>
            </w:r>
            <w:r>
              <w:rPr>
                <w:rFonts w:hint="eastAsia" w:ascii="Times New Roman" w:hAnsi="Times New Roman" w:eastAsia="仿宋_GB2312" w:cs="Times New Roman"/>
                <w:b w:val="0"/>
                <w:bCs w:val="0"/>
                <w:color w:val="auto"/>
                <w:szCs w:val="21"/>
                <w:highlight w:val="none"/>
                <w:lang w:eastAsia="zh-CN"/>
              </w:rPr>
              <w:t>”</w:t>
            </w:r>
            <w:r>
              <w:rPr>
                <w:rFonts w:hint="default" w:ascii="Times New Roman" w:hAnsi="Times New Roman" w:eastAsia="仿宋_GB2312" w:cs="Times New Roman"/>
                <w:b w:val="0"/>
                <w:bCs w:val="0"/>
                <w:color w:val="auto"/>
                <w:szCs w:val="21"/>
                <w:highlight w:val="none"/>
              </w:rPr>
              <w:t>行为的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19"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12</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JJX101012</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恶意拖欠监理人员工资的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28"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13</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JJX101013</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恶意扣压监理人员的监理工程师或专业监理工程师资格证书的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87"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14</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JJX101014</w:t>
            </w:r>
          </w:p>
        </w:tc>
        <w:tc>
          <w:tcPr>
            <w:tcW w:w="487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未按合同约定配备试验检测、测量仪器设备的</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1分∕台</w:t>
            </w:r>
          </w:p>
        </w:tc>
      </w:tr>
    </w:tbl>
    <w:p>
      <w:pP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备注：从业单位按照整改通知书及时整改并报告的，不作为扣分依据。</w:t>
      </w:r>
    </w:p>
    <w:p>
      <w:pPr>
        <w:ind w:firstLine="105" w:firstLineChars="50"/>
        <w:rPr>
          <w:rFonts w:hint="default" w:ascii="Times New Roman" w:hAnsi="Times New Roman" w:eastAsia="仿宋_GB2312" w:cs="Times New Roman"/>
          <w:b w:val="0"/>
          <w:bCs w:val="0"/>
          <w:color w:val="auto"/>
          <w:szCs w:val="21"/>
          <w:highlight w:val="none"/>
        </w:rPr>
      </w:pPr>
    </w:p>
    <w:p>
      <w:pPr>
        <w:spacing w:line="600" w:lineRule="exact"/>
        <w:ind w:firstLine="640" w:firstLineChars="200"/>
        <w:rPr>
          <w:rFonts w:hint="default" w:ascii="Times New Roman" w:hAnsi="Times New Roman" w:eastAsia="仿宋_GB2312" w:cs="Times New Roman"/>
          <w:b w:val="0"/>
          <w:bCs w:val="0"/>
          <w:color w:val="auto"/>
          <w:sz w:val="32"/>
          <w:szCs w:val="32"/>
          <w:highlight w:val="none"/>
        </w:rPr>
        <w:sectPr>
          <w:headerReference r:id="rId3" w:type="default"/>
          <w:footerReference r:id="rId4" w:type="default"/>
          <w:pgSz w:w="11906" w:h="16838"/>
          <w:pgMar w:top="2098" w:right="1531" w:bottom="1701" w:left="1531" w:header="851" w:footer="992" w:gutter="0"/>
          <w:cols w:space="720" w:num="1"/>
          <w:docGrid w:type="lines" w:linePitch="312" w:charSpace="0"/>
        </w:sectPr>
      </w:pPr>
    </w:p>
    <w:p>
      <w:pPr>
        <w:spacing w:line="240" w:lineRule="auto"/>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养护工程试验检测从业单位扣分标准</w:t>
      </w:r>
    </w:p>
    <w:p>
      <w:pPr>
        <w:jc w:val="center"/>
        <w:rPr>
          <w:rFonts w:hint="default" w:ascii="Times New Roman" w:hAnsi="Times New Roman" w:eastAsia="仿宋_GB2312" w:cs="Times New Roman"/>
          <w:b w:val="0"/>
          <w:bCs w:val="0"/>
          <w:color w:val="auto"/>
          <w:sz w:val="24"/>
          <w:highlight w:val="none"/>
        </w:rPr>
      </w:pPr>
      <w:r>
        <w:rPr>
          <w:rFonts w:hint="default" w:ascii="Times New Roman" w:hAnsi="Times New Roman" w:eastAsia="楷体" w:cs="Times New Roman"/>
          <w:b w:val="0"/>
          <w:bCs w:val="0"/>
          <w:color w:val="auto"/>
          <w:sz w:val="28"/>
          <w:szCs w:val="28"/>
          <w:highlight w:val="none"/>
        </w:rPr>
        <w:t xml:space="preserve">                                                     </w:t>
      </w:r>
      <w:r>
        <w:rPr>
          <w:rFonts w:hint="default" w:ascii="Times New Roman" w:hAnsi="Times New Roman" w:eastAsia="仿宋_GB2312" w:cs="Times New Roman"/>
          <w:b w:val="0"/>
          <w:bCs w:val="0"/>
          <w:color w:val="auto"/>
          <w:sz w:val="28"/>
          <w:szCs w:val="28"/>
          <w:highlight w:val="none"/>
        </w:rPr>
        <w:t xml:space="preserve"> </w:t>
      </w:r>
      <w:r>
        <w:rPr>
          <w:rFonts w:hint="default" w:ascii="Times New Roman" w:hAnsi="Times New Roman" w:eastAsia="仿宋_GB2312" w:cs="Times New Roman"/>
          <w:b w:val="0"/>
          <w:bCs w:val="0"/>
          <w:color w:val="auto"/>
          <w:sz w:val="24"/>
          <w:highlight w:val="non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678"/>
        <w:gridCol w:w="6721"/>
        <w:gridCol w:w="226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kern w:val="0"/>
                <w:sz w:val="24"/>
                <w:highlight w:val="none"/>
              </w:rPr>
              <w:t>评定内容</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行为代码</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失信行为</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扣分标准</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restart"/>
            <w:tcBorders>
              <w:top w:val="single" w:color="auto" w:sz="4" w:space="0"/>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kern w:val="0"/>
                <w:szCs w:val="21"/>
                <w:highlight w:val="none"/>
              </w:rPr>
              <w:t>履约行为（满分100，扣完为止。）</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JJC202001</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在较大及以上等级质量事故、安全生产责任事故中，检测机构负有责任的</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20分∕次</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kern w:val="0"/>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JJC202002</w:t>
            </w:r>
          </w:p>
        </w:tc>
        <w:tc>
          <w:tcPr>
            <w:tcW w:w="67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存在虚假数据和报告及其他虚假资料</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扣10分/份 、单次扣分不超过30分</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kern w:val="0"/>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JJC202003</w:t>
            </w:r>
          </w:p>
        </w:tc>
        <w:tc>
          <w:tcPr>
            <w:tcW w:w="672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聘用信用很差或无证试验检测人员从事试验检测工作的, 或所聘用的试验检测人员被评为信用很差的。</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扣10分/人</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JJC202004</w:t>
            </w:r>
          </w:p>
        </w:tc>
        <w:tc>
          <w:tcPr>
            <w:tcW w:w="6721"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未经母体机构有效授权</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扣20分/项</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JJC202005</w:t>
            </w:r>
          </w:p>
        </w:tc>
        <w:tc>
          <w:tcPr>
            <w:tcW w:w="672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授权负责人不是母体机构派出人员的</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扣10分</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JJC202006</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超授权范围开展业务</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扣5分/参数</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JJC202007</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未按规定或合同配备相应条件的试验检测人员或擅自变更试验检测人员</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xml:space="preserve">扣5分/试验检测师·次 </w:t>
            </w:r>
          </w:p>
          <w:p>
            <w:pPr>
              <w:snapToGrid w:val="0"/>
              <w:spacing w:line="240" w:lineRule="atLeas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3分/试验检测员·次</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JJC202008</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未按规定或合同配备满足要求的仪器设备、设备未检定校准的</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扣2分/台，单次扣分不超过20分</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JJC202009</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试验检测环境达不到技术标准规定要求的</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扣2分/处，单次扣分不超过10分</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JJC202010</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报告签字人不具备资格</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扣2分/份，单次扣分不超过10分</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JJC202011</w:t>
            </w:r>
          </w:p>
        </w:tc>
        <w:tc>
          <w:tcPr>
            <w:tcW w:w="672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试验检测原始记录信息及数据记录不全，结论不准确，试验检测报告不完整(含漏签、漏盖章)，试验检测频率不满足规范或合同要求</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扣3分/类</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JJC202012</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未按规定上报发现的试验检测不合格事项以及不合格报告</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 xml:space="preserve">未上报扣5分/次， </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JJC202013</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对各级监督部门提出的检查意见整改不闭合的</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扣20分/项</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99" w:type="dxa"/>
            <w:vMerge w:val="continue"/>
            <w:tcBorders>
              <w:left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JJC202014</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未经备案审核开展检测业务的</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扣20分</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99" w:type="dxa"/>
            <w:vMerge w:val="continue"/>
            <w:tcBorders>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b w:val="0"/>
                <w:bCs w:val="0"/>
                <w:color w:val="auto"/>
                <w:szCs w:val="21"/>
                <w:highlight w:val="none"/>
              </w:rPr>
            </w:pPr>
            <w:r>
              <w:rPr>
                <w:rFonts w:hint="default" w:ascii="Times New Roman" w:hAnsi="Times New Roman" w:eastAsia="仿宋_GB2312" w:cs="Times New Roman"/>
                <w:b w:val="0"/>
                <w:bCs w:val="0"/>
                <w:color w:val="auto"/>
                <w:szCs w:val="21"/>
                <w:highlight w:val="none"/>
              </w:rPr>
              <w:t>JJC202015</w:t>
            </w:r>
          </w:p>
        </w:tc>
        <w:tc>
          <w:tcPr>
            <w:tcW w:w="67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严重违反试验检测技术规程操作的</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仿宋_GB2312" w:cs="Times New Roman"/>
                <w:b w:val="0"/>
                <w:bCs w:val="0"/>
                <w:color w:val="auto"/>
                <w:kern w:val="0"/>
                <w:szCs w:val="21"/>
                <w:highlight w:val="none"/>
              </w:rPr>
            </w:pPr>
            <w:r>
              <w:rPr>
                <w:rFonts w:hint="default" w:ascii="Times New Roman" w:hAnsi="Times New Roman" w:eastAsia="仿宋_GB2312" w:cs="Times New Roman"/>
                <w:b w:val="0"/>
                <w:bCs w:val="0"/>
                <w:color w:val="auto"/>
                <w:kern w:val="0"/>
                <w:szCs w:val="21"/>
                <w:highlight w:val="none"/>
              </w:rPr>
              <w:t>扣10分/项</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default" w:ascii="Times New Roman" w:hAnsi="Times New Roman" w:eastAsia="仿宋_GB2312" w:cs="Times New Roman"/>
                <w:b w:val="0"/>
                <w:bCs w:val="0"/>
                <w:color w:val="auto"/>
                <w:szCs w:val="21"/>
                <w:highlight w:val="none"/>
              </w:rPr>
            </w:pPr>
          </w:p>
        </w:tc>
      </w:tr>
    </w:tbl>
    <w:p>
      <w:pPr>
        <w:spacing w:line="600" w:lineRule="exact"/>
        <w:ind w:firstLine="640" w:firstLineChars="200"/>
        <w:rPr>
          <w:rFonts w:hint="default" w:ascii="Times New Roman" w:hAnsi="Times New Roman" w:eastAsia="仿宋_GB2312" w:cs="Times New Roman"/>
          <w:b w:val="0"/>
          <w:bCs w:val="0"/>
          <w:color w:val="auto"/>
          <w:sz w:val="32"/>
          <w:szCs w:val="32"/>
          <w:highlight w:val="none"/>
        </w:rPr>
        <w:sectPr>
          <w:pgSz w:w="16838" w:h="11906" w:orient="landscape"/>
          <w:pgMar w:top="2098" w:right="1531" w:bottom="1701" w:left="1531" w:header="851" w:footer="992" w:gutter="0"/>
          <w:cols w:space="720" w:num="1"/>
          <w:docGrid w:type="lines" w:linePitch="312" w:charSpace="0"/>
        </w:sectPr>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firstLine="280" w:firstLineChars="100"/>
      <w:rPr>
        <w:rStyle w:val="10"/>
        <w:rFonts w:hint="eastAsia" w:ascii="宋体" w:hAnsi="宋体"/>
        <w:color w:val="FFFFFF"/>
        <w:sz w:val="28"/>
        <w:szCs w:val="28"/>
      </w:rPr>
    </w:pPr>
  </w:p>
  <w:p>
    <w:pPr>
      <w:pStyle w:val="6"/>
      <w:ind w:right="0" w:firstLine="280" w:firstLineChars="100"/>
      <w:jc w:val="right"/>
      <w:rPr>
        <w:rFonts w:hint="eastAsia"/>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firstLine="280" w:firstLineChars="100"/>
      <w:rPr>
        <w:rStyle w:val="10"/>
        <w:rFonts w:hint="eastAsia" w:ascii="宋体" w:hAnsi="宋体"/>
        <w:color w:val="FFFFFF"/>
        <w:sz w:val="28"/>
        <w:szCs w:val="28"/>
      </w:rPr>
    </w:pPr>
  </w:p>
  <w:p>
    <w:pPr>
      <w:pStyle w:val="6"/>
      <w:ind w:right="0" w:firstLine="280" w:firstLineChars="100"/>
      <w:jc w:val="right"/>
      <w:rPr>
        <w:rFonts w:hint="eastAsia"/>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MTkzMTcwZDZjNzEwZTI1OTQ1MmU5ZThmNTU0ZDcifQ=="/>
  </w:docVars>
  <w:rsids>
    <w:rsidRoot w:val="602B44F8"/>
    <w:rsid w:val="602B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uiPriority w:val="0"/>
    <w:tblPr>
      <w:tblCellMar>
        <w:top w:w="0" w:type="dxa"/>
        <w:left w:w="108" w:type="dxa"/>
        <w:bottom w:w="0" w:type="dxa"/>
        <w:right w:w="108" w:type="dxa"/>
      </w:tblCellMar>
    </w:tblPr>
  </w:style>
  <w:style w:type="paragraph" w:customStyle="1" w:styleId="2">
    <w:name w:val="Body Text First Indent 21"/>
    <w:basedOn w:val="3"/>
    <w:next w:val="4"/>
    <w:qFormat/>
    <w:uiPriority w:val="99"/>
    <w:pPr>
      <w:ind w:firstLine="420"/>
    </w:pPr>
    <w:rPr>
      <w:szCs w:val="22"/>
    </w:rPr>
  </w:style>
  <w:style w:type="paragraph" w:customStyle="1" w:styleId="3">
    <w:name w:val="Body Text Indent1"/>
    <w:basedOn w:val="1"/>
    <w:next w:val="2"/>
    <w:qFormat/>
    <w:uiPriority w:val="0"/>
    <w:pPr>
      <w:spacing w:line="500" w:lineRule="exact"/>
      <w:ind w:firstLine="880" w:firstLineChars="200"/>
    </w:pPr>
    <w:rPr>
      <w:rFonts w:ascii="Times New Roman" w:hAnsi="Times New Roman" w:eastAsia="宋体" w:cs="Times New Roman"/>
      <w:sz w:val="21"/>
      <w:szCs w:val="20"/>
    </w:rPr>
  </w:style>
  <w:style w:type="paragraph" w:styleId="4">
    <w:name w:val="Body Text"/>
    <w:basedOn w:val="1"/>
    <w:next w:val="1"/>
    <w:unhideWhenUsed/>
    <w:qFormat/>
    <w:uiPriority w:val="99"/>
    <w:rPr>
      <w:sz w:val="30"/>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2023-12-29T12:30:00Z</dcterms:created>
  <dc:creator>57108</dc:creator>
  <cp:lastModifiedBy>57108</cp:lastModifiedBy>
  <dcterms:modified xsi:type="dcterms:W3CDTF">2023-12-29T12:32:22Z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CE30F232B77E4FF39B05027F97E4130B_11</vt:lpwstr>
  </property>
</Properties>
</file>