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snapToGrid w:val="0"/>
        <w:spacing w:before="0" w:after="0" w:line="312" w:lineRule="auto"/>
        <w:jc w:val="center"/>
        <w:rPr>
          <w:rFonts w:hint="eastAsia" w:ascii="仿宋" w:hAnsi="仿宋" w:eastAsia="仿宋" w:cs="仿宋"/>
          <w:sz w:val="28"/>
          <w:szCs w:val="28"/>
          <w:highlight w:val="none"/>
        </w:rPr>
      </w:pPr>
      <w:r>
        <w:rPr>
          <w:rFonts w:hint="eastAsia" w:ascii="仿宋" w:hAnsi="仿宋" w:eastAsia="仿宋" w:cs="仿宋"/>
          <w:sz w:val="36"/>
          <w:szCs w:val="36"/>
          <w:highlight w:val="none"/>
        </w:rPr>
        <w:t>采购项目技术、服务、商务及其他要求</w:t>
      </w:r>
      <w:bookmarkStart w:id="0" w:name="_Hlk45530010"/>
    </w:p>
    <w:p>
      <w:pPr>
        <w:tabs>
          <w:tab w:val="left" w:pos="7665"/>
        </w:tabs>
        <w:snapToGrid w:val="0"/>
        <w:spacing w:line="312" w:lineRule="auto"/>
        <w:outlineLvl w:val="1"/>
        <w:rPr>
          <w:rFonts w:hint="eastAsia" w:ascii="仿宋" w:hAnsi="仿宋" w:eastAsia="仿宋" w:cs="仿宋"/>
          <w:b/>
          <w:sz w:val="28"/>
          <w:szCs w:val="28"/>
          <w:highlight w:val="none"/>
        </w:rPr>
      </w:pPr>
      <w:r>
        <w:rPr>
          <w:rFonts w:hint="eastAsia" w:ascii="仿宋" w:hAnsi="仿宋" w:eastAsia="仿宋" w:cs="仿宋"/>
          <w:b/>
          <w:sz w:val="28"/>
          <w:szCs w:val="28"/>
          <w:highlight w:val="none"/>
        </w:rPr>
        <w:br w:type="textWrapping"/>
      </w:r>
      <w:r>
        <w:rPr>
          <w:rFonts w:hint="eastAsia" w:ascii="仿宋" w:hAnsi="仿宋" w:eastAsia="仿宋" w:cs="仿宋"/>
          <w:b/>
          <w:sz w:val="28"/>
          <w:szCs w:val="28"/>
          <w:highlight w:val="none"/>
        </w:rPr>
        <w:t>一、项目概况</w:t>
      </w:r>
    </w:p>
    <w:p>
      <w:pPr>
        <w:snapToGrid w:val="0"/>
        <w:spacing w:line="312" w:lineRule="auto"/>
        <w:ind w:firstLine="562" w:firstLineChars="200"/>
        <w:rPr>
          <w:rFonts w:hint="eastAsia" w:ascii="仿宋" w:hAnsi="仿宋" w:eastAsia="仿宋" w:cs="仿宋"/>
          <w:b/>
          <w:bCs/>
          <w:kern w:val="44"/>
          <w:sz w:val="28"/>
          <w:szCs w:val="28"/>
          <w:highlight w:val="none"/>
        </w:rPr>
      </w:pPr>
      <w:r>
        <w:rPr>
          <w:rFonts w:hint="eastAsia" w:ascii="仿宋" w:hAnsi="仿宋" w:eastAsia="仿宋" w:cs="仿宋"/>
          <w:b/>
          <w:bCs/>
          <w:kern w:val="44"/>
          <w:sz w:val="28"/>
          <w:szCs w:val="28"/>
          <w:highlight w:val="none"/>
        </w:rPr>
        <w:t>（一）项目概述</w:t>
      </w:r>
    </w:p>
    <w:p>
      <w:pPr>
        <w:pStyle w:val="2"/>
        <w:snapToGrid w:val="0"/>
        <w:spacing w:line="312" w:lineRule="auto"/>
        <w:ind w:firstLine="480"/>
        <w:rPr>
          <w:rFonts w:ascii="仿宋" w:hAnsi="仿宋" w:eastAsia="仿宋" w:cs="仿宋"/>
          <w:kern w:val="44"/>
          <w:sz w:val="24"/>
          <w:highlight w:val="none"/>
        </w:rPr>
      </w:pPr>
      <w:r>
        <w:rPr>
          <w:rFonts w:hint="eastAsia" w:ascii="仿宋" w:hAnsi="仿宋" w:eastAsia="仿宋" w:cs="仿宋"/>
          <w:color w:val="auto"/>
          <w:kern w:val="44"/>
          <w:sz w:val="24"/>
          <w:highlight w:val="none"/>
        </w:rPr>
        <w:t>通过开展</w:t>
      </w:r>
      <w:r>
        <w:rPr>
          <w:rFonts w:hint="eastAsia" w:ascii="仿宋" w:hAnsi="仿宋" w:eastAsia="仿宋" w:cs="仿宋"/>
          <w:color w:val="auto"/>
          <w:kern w:val="44"/>
          <w:sz w:val="24"/>
          <w:highlight w:val="none"/>
          <w:lang w:eastAsia="zh-CN"/>
        </w:rPr>
        <w:t>四川省交通运输行业人才研究</w:t>
      </w:r>
      <w:r>
        <w:rPr>
          <w:rFonts w:hint="eastAsia" w:ascii="仿宋" w:hAnsi="仿宋" w:eastAsia="仿宋" w:cs="仿宋"/>
          <w:color w:val="auto"/>
          <w:kern w:val="44"/>
          <w:sz w:val="24"/>
          <w:highlight w:val="none"/>
        </w:rPr>
        <w:t xml:space="preserve"> ，对我省交通运输行业技能人才队伍基本情况、人才结构、人才现状及发展趋势进行分析，结合产业现状及发展态势做出研判，</w:t>
      </w:r>
      <w:r>
        <w:rPr>
          <w:rFonts w:hint="eastAsia" w:ascii="仿宋" w:hAnsi="仿宋" w:eastAsia="仿宋" w:cs="仿宋"/>
          <w:kern w:val="44"/>
          <w:sz w:val="24"/>
          <w:highlight w:val="none"/>
        </w:rPr>
        <w:t>提出新形势下技能人才发展建议，为行业人才发展建言献策，助力四川省交通运输行业人才队伍高质量发展。本次采购共分1个包。</w:t>
      </w:r>
    </w:p>
    <w:p>
      <w:pPr>
        <w:pStyle w:val="2"/>
        <w:snapToGrid w:val="0"/>
        <w:spacing w:line="312" w:lineRule="auto"/>
        <w:ind w:firstLine="562"/>
        <w:rPr>
          <w:rFonts w:hint="eastAsia" w:ascii="仿宋" w:hAnsi="仿宋" w:eastAsia="仿宋" w:cs="仿宋"/>
          <w:b/>
          <w:sz w:val="28"/>
          <w:szCs w:val="28"/>
          <w:highlight w:val="none"/>
        </w:rPr>
      </w:pPr>
      <w:r>
        <w:rPr>
          <w:rFonts w:hint="eastAsia" w:ascii="仿宋" w:hAnsi="仿宋" w:eastAsia="仿宋" w:cs="仿宋"/>
          <w:b/>
          <w:sz w:val="28"/>
          <w:szCs w:val="28"/>
          <w:highlight w:val="none"/>
        </w:rPr>
        <w:t>（二）标的名称及所属行业</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177"/>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444" w:type="dxa"/>
            <w:noWrap w:val="0"/>
            <w:vAlign w:val="center"/>
          </w:tcPr>
          <w:p>
            <w:pPr>
              <w:pStyle w:val="2"/>
              <w:snapToGrid w:val="0"/>
              <w:spacing w:line="312" w:lineRule="auto"/>
              <w:ind w:firstLine="0" w:firstLineChars="0"/>
              <w:jc w:val="center"/>
              <w:rPr>
                <w:rFonts w:hint="eastAsia" w:ascii="仿宋" w:hAnsi="仿宋" w:eastAsia="仿宋" w:cs="仿宋"/>
                <w:b/>
                <w:bCs/>
                <w:sz w:val="24"/>
                <w:highlight w:val="none"/>
              </w:rPr>
            </w:pPr>
            <w:r>
              <w:rPr>
                <w:rFonts w:hint="eastAsia" w:ascii="仿宋" w:hAnsi="仿宋" w:eastAsia="仿宋" w:cs="仿宋"/>
                <w:b/>
                <w:bCs/>
                <w:sz w:val="24"/>
                <w:highlight w:val="none"/>
              </w:rPr>
              <w:t>序号</w:t>
            </w:r>
          </w:p>
        </w:tc>
        <w:tc>
          <w:tcPr>
            <w:tcW w:w="4177" w:type="dxa"/>
            <w:noWrap w:val="0"/>
            <w:vAlign w:val="center"/>
          </w:tcPr>
          <w:p>
            <w:pPr>
              <w:pStyle w:val="2"/>
              <w:snapToGrid w:val="0"/>
              <w:spacing w:line="312" w:lineRule="auto"/>
              <w:ind w:firstLine="0" w:firstLineChars="0"/>
              <w:jc w:val="center"/>
              <w:rPr>
                <w:rFonts w:hint="eastAsia" w:ascii="仿宋" w:hAnsi="仿宋" w:eastAsia="仿宋" w:cs="仿宋"/>
                <w:b/>
                <w:bCs/>
                <w:sz w:val="24"/>
                <w:highlight w:val="none"/>
              </w:rPr>
            </w:pPr>
            <w:r>
              <w:rPr>
                <w:rFonts w:hint="eastAsia" w:ascii="仿宋" w:hAnsi="仿宋" w:eastAsia="仿宋" w:cs="仿宋"/>
                <w:b/>
                <w:bCs/>
                <w:sz w:val="24"/>
                <w:highlight w:val="none"/>
              </w:rPr>
              <w:t>标的名称</w:t>
            </w:r>
          </w:p>
        </w:tc>
        <w:tc>
          <w:tcPr>
            <w:tcW w:w="2717" w:type="dxa"/>
            <w:noWrap w:val="0"/>
            <w:vAlign w:val="center"/>
          </w:tcPr>
          <w:p>
            <w:pPr>
              <w:pStyle w:val="2"/>
              <w:snapToGrid w:val="0"/>
              <w:spacing w:line="312" w:lineRule="auto"/>
              <w:ind w:firstLine="0" w:firstLineChars="0"/>
              <w:jc w:val="center"/>
              <w:rPr>
                <w:rFonts w:hint="eastAsia" w:ascii="仿宋" w:hAnsi="仿宋" w:eastAsia="仿宋" w:cs="仿宋"/>
                <w:b/>
                <w:bCs/>
                <w:sz w:val="24"/>
                <w:highlight w:val="none"/>
              </w:rPr>
            </w:pPr>
            <w:r>
              <w:rPr>
                <w:rFonts w:hint="eastAsia" w:ascii="仿宋" w:hAnsi="仿宋" w:eastAsia="仿宋" w:cs="仿宋"/>
                <w:b/>
                <w:bCs/>
                <w:sz w:val="24"/>
                <w:highlight w:val="none"/>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444" w:type="dxa"/>
            <w:noWrap w:val="0"/>
            <w:vAlign w:val="center"/>
          </w:tcPr>
          <w:p>
            <w:pPr>
              <w:pStyle w:val="2"/>
              <w:snapToGrid w:val="0"/>
              <w:spacing w:line="312" w:lineRule="auto"/>
              <w:ind w:firstLine="0" w:firstLineChars="0"/>
              <w:jc w:val="center"/>
              <w:rPr>
                <w:rFonts w:hint="eastAsia" w:ascii="仿宋" w:hAnsi="仿宋" w:eastAsia="仿宋" w:cs="仿宋"/>
                <w:bCs/>
                <w:sz w:val="24"/>
                <w:highlight w:val="none"/>
              </w:rPr>
            </w:pPr>
            <w:r>
              <w:rPr>
                <w:rFonts w:hint="eastAsia" w:ascii="仿宋" w:hAnsi="仿宋" w:eastAsia="仿宋" w:cs="仿宋"/>
                <w:bCs/>
                <w:sz w:val="24"/>
                <w:highlight w:val="none"/>
              </w:rPr>
              <w:t>1</w:t>
            </w:r>
          </w:p>
        </w:tc>
        <w:tc>
          <w:tcPr>
            <w:tcW w:w="4177" w:type="dxa"/>
            <w:noWrap w:val="0"/>
            <w:vAlign w:val="center"/>
          </w:tcPr>
          <w:p>
            <w:pPr>
              <w:pStyle w:val="2"/>
              <w:snapToGrid w:val="0"/>
              <w:spacing w:line="312" w:lineRule="auto"/>
              <w:ind w:firstLine="0" w:firstLineChars="0"/>
              <w:jc w:val="center"/>
              <w:rPr>
                <w:rFonts w:hint="eastAsia" w:ascii="仿宋" w:hAnsi="仿宋" w:eastAsia="仿宋" w:cs="仿宋"/>
                <w:bCs/>
                <w:sz w:val="24"/>
                <w:highlight w:val="none"/>
                <w:lang w:eastAsia="zh-CN"/>
              </w:rPr>
            </w:pPr>
            <w:r>
              <w:rPr>
                <w:rFonts w:hint="eastAsia" w:ascii="仿宋" w:hAnsi="仿宋" w:eastAsia="仿宋" w:cs="仿宋"/>
                <w:bCs/>
                <w:sz w:val="24"/>
                <w:highlight w:val="none"/>
                <w:lang w:eastAsia="zh-CN"/>
              </w:rPr>
              <w:t>四川省交通运输行业人才研究</w:t>
            </w:r>
          </w:p>
        </w:tc>
        <w:tc>
          <w:tcPr>
            <w:tcW w:w="2717" w:type="dxa"/>
            <w:noWrap w:val="0"/>
            <w:vAlign w:val="center"/>
          </w:tcPr>
          <w:p>
            <w:pPr>
              <w:pStyle w:val="2"/>
              <w:snapToGrid w:val="0"/>
              <w:spacing w:line="312" w:lineRule="auto"/>
              <w:ind w:firstLine="0" w:firstLineChars="0"/>
              <w:jc w:val="center"/>
              <w:rPr>
                <w:rFonts w:ascii="仿宋" w:hAnsi="仿宋" w:eastAsia="仿宋" w:cs="仿宋"/>
                <w:bCs/>
                <w:sz w:val="24"/>
                <w:highlight w:val="none"/>
              </w:rPr>
            </w:pPr>
            <w:r>
              <w:rPr>
                <w:rFonts w:hint="eastAsia" w:ascii="仿宋" w:hAnsi="仿宋" w:eastAsia="仿宋" w:cs="仿宋"/>
                <w:bCs/>
                <w:sz w:val="24"/>
                <w:highlight w:val="none"/>
              </w:rPr>
              <w:t>其他未列明行业</w:t>
            </w:r>
          </w:p>
        </w:tc>
      </w:tr>
    </w:tbl>
    <w:p>
      <w:pPr>
        <w:snapToGrid w:val="0"/>
        <w:spacing w:line="312" w:lineRule="auto"/>
        <w:ind w:firstLine="480" w:firstLineChars="200"/>
        <w:rPr>
          <w:rFonts w:hint="eastAsia" w:ascii="仿宋" w:hAnsi="仿宋" w:eastAsia="仿宋" w:cs="仿宋"/>
          <w:b/>
          <w:bCs/>
          <w:kern w:val="44"/>
          <w:sz w:val="28"/>
          <w:szCs w:val="28"/>
          <w:highlight w:val="none"/>
        </w:rPr>
      </w:pPr>
      <w:r>
        <w:rPr>
          <w:rFonts w:hint="eastAsia" w:ascii="仿宋" w:hAnsi="仿宋" w:eastAsia="仿宋" w:cs="仿宋"/>
          <w:kern w:val="44"/>
          <w:sz w:val="24"/>
          <w:szCs w:val="24"/>
          <w:highlight w:val="none"/>
        </w:rPr>
        <w:t>注：上表中“所属行业”系指“</w:t>
      </w:r>
      <w:r>
        <w:rPr>
          <w:rFonts w:hint="eastAsia" w:ascii="仿宋" w:hAnsi="仿宋" w:eastAsia="仿宋" w:cs="仿宋"/>
          <w:sz w:val="24"/>
          <w:szCs w:val="24"/>
          <w:highlight w:val="none"/>
        </w:rPr>
        <w:t>《工业和信息化部、国家统计局、国家发展和改革委员会、财政部关于印发中小企业划型标准规定的通知》（工信部联企业〔2011〕300号文件）、《统计上大中小微型企业划分办法（2017）》附表：统计上大中小微型企业划分标准”规定的中小企业划型标准所属行业。</w:t>
      </w:r>
      <w:r>
        <w:rPr>
          <w:rFonts w:hint="eastAsia" w:ascii="仿宋" w:hAnsi="仿宋" w:eastAsia="仿宋" w:cs="仿宋"/>
          <w:b/>
          <w:sz w:val="24"/>
          <w:highlight w:val="none"/>
        </w:rPr>
        <w:br w:type="textWrapping"/>
      </w:r>
      <w:r>
        <w:rPr>
          <w:rFonts w:hint="eastAsia" w:ascii="仿宋" w:hAnsi="仿宋" w:eastAsia="仿宋" w:cs="仿宋"/>
          <w:b/>
          <w:sz w:val="24"/>
          <w:highlight w:val="none"/>
        </w:rPr>
        <w:t>二、</w:t>
      </w:r>
      <w:r>
        <w:rPr>
          <w:rFonts w:hint="eastAsia" w:ascii="仿宋" w:hAnsi="仿宋" w:eastAsia="仿宋" w:cs="仿宋"/>
          <w:b/>
          <w:bCs/>
          <w:kern w:val="44"/>
          <w:sz w:val="28"/>
          <w:szCs w:val="28"/>
          <w:highlight w:val="none"/>
        </w:rPr>
        <w:t>技术、服务要求</w:t>
      </w:r>
    </w:p>
    <w:p>
      <w:pPr>
        <w:snapToGrid w:val="0"/>
        <w:spacing w:line="312" w:lineRule="auto"/>
        <w:ind w:firstLine="562" w:firstLineChars="200"/>
        <w:outlineLvl w:val="2"/>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★（一）服务内容及范围</w:t>
      </w:r>
    </w:p>
    <w:p>
      <w:pPr>
        <w:snapToGrid w:val="0"/>
        <w:spacing w:line="312" w:lineRule="auto"/>
        <w:ind w:firstLine="480" w:firstLineChars="20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1.分析四川省交通运输行业</w:t>
      </w:r>
      <w:r>
        <w:rPr>
          <w:rFonts w:hint="eastAsia" w:ascii="仿宋" w:hAnsi="仿宋" w:eastAsia="仿宋" w:cs="仿宋"/>
          <w:bCs/>
          <w:color w:val="auto"/>
          <w:sz w:val="24"/>
          <w:szCs w:val="24"/>
          <w:highlight w:val="none"/>
          <w:lang w:eastAsia="zh-CN"/>
        </w:rPr>
        <w:t>技能</w:t>
      </w:r>
      <w:r>
        <w:rPr>
          <w:rFonts w:hint="eastAsia" w:ascii="仿宋" w:hAnsi="仿宋" w:eastAsia="仿宋" w:cs="仿宋"/>
          <w:bCs/>
          <w:color w:val="auto"/>
          <w:sz w:val="24"/>
          <w:szCs w:val="24"/>
          <w:highlight w:val="none"/>
        </w:rPr>
        <w:t>人才总体情况；</w:t>
      </w:r>
    </w:p>
    <w:p>
      <w:pPr>
        <w:snapToGrid w:val="0"/>
        <w:spacing w:line="312" w:lineRule="auto"/>
        <w:ind w:firstLine="480" w:firstLineChars="20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2.分析国家和四川省交通运输行业技能人才发展趋势；</w:t>
      </w:r>
    </w:p>
    <w:p>
      <w:pPr>
        <w:snapToGrid w:val="0"/>
        <w:spacing w:line="312" w:lineRule="auto"/>
        <w:ind w:firstLine="480" w:firstLineChars="20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3.分析四川省交通运输行业技能人才现状；</w:t>
      </w:r>
    </w:p>
    <w:p>
      <w:pPr>
        <w:snapToGrid w:val="0"/>
        <w:spacing w:line="312" w:lineRule="auto"/>
        <w:ind w:firstLine="480" w:firstLineChars="200"/>
        <w:outlineLvl w:val="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4.通过对标先进地区人才发展方面的成功经验，分析四川省交通运输行业技能人才的优势和短板</w:t>
      </w:r>
      <w:bookmarkStart w:id="19" w:name="_GoBack"/>
      <w:bookmarkEnd w:id="19"/>
      <w:r>
        <w:rPr>
          <w:rFonts w:hint="eastAsia" w:ascii="仿宋" w:hAnsi="仿宋" w:eastAsia="仿宋" w:cs="仿宋"/>
          <w:bCs/>
          <w:color w:val="auto"/>
          <w:sz w:val="24"/>
          <w:szCs w:val="24"/>
          <w:highlight w:val="none"/>
        </w:rPr>
        <w:t>；</w:t>
      </w:r>
    </w:p>
    <w:p>
      <w:pPr>
        <w:snapToGrid w:val="0"/>
        <w:spacing w:line="312" w:lineRule="auto"/>
        <w:ind w:firstLine="480" w:firstLineChars="200"/>
        <w:outlineLvl w:val="2"/>
        <w:rPr>
          <w:rFonts w:hint="eastAsia" w:ascii="仿宋" w:hAnsi="仿宋" w:eastAsia="仿宋" w:cs="仿宋"/>
          <w:b/>
          <w:bCs/>
          <w:color w:val="auto"/>
          <w:kern w:val="44"/>
          <w:sz w:val="28"/>
          <w:szCs w:val="28"/>
          <w:highlight w:val="none"/>
        </w:rPr>
      </w:pPr>
      <w:r>
        <w:rPr>
          <w:rFonts w:hint="eastAsia" w:ascii="仿宋" w:hAnsi="仿宋" w:eastAsia="仿宋" w:cs="仿宋"/>
          <w:bCs/>
          <w:color w:val="auto"/>
          <w:sz w:val="24"/>
          <w:szCs w:val="24"/>
          <w:highlight w:val="none"/>
        </w:rPr>
        <w:t>5.研究提出四川省交通运输行业技能人才发展的思路、目标、任务和实践路径等。</w:t>
      </w:r>
      <w:r>
        <w:rPr>
          <w:rFonts w:hint="eastAsia" w:ascii="仿宋" w:hAnsi="仿宋" w:eastAsia="仿宋" w:cs="仿宋"/>
          <w:bCs/>
          <w:color w:val="auto"/>
          <w:sz w:val="24"/>
          <w:szCs w:val="24"/>
          <w:highlight w:val="none"/>
        </w:rPr>
        <w:br w:type="textWrapping"/>
      </w:r>
      <w:r>
        <w:rPr>
          <w:rFonts w:hint="eastAsia" w:ascii="仿宋" w:hAnsi="仿宋" w:eastAsia="仿宋" w:cs="仿宋"/>
          <w:b/>
          <w:color w:val="auto"/>
          <w:sz w:val="28"/>
          <w:szCs w:val="28"/>
          <w:highlight w:val="none"/>
        </w:rPr>
        <w:t>（二）服务标准及要求</w:t>
      </w:r>
    </w:p>
    <w:p>
      <w:pPr>
        <w:pStyle w:val="5"/>
        <w:adjustRightInd w:val="0"/>
        <w:snapToGrid w:val="0"/>
        <w:spacing w:after="0"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总结分析四川省交通运输行业技能人才发展及人才资源情况。科学分析及对标先进地区在人才战略和人才发展方面的成功经验，查找差距和短板；客观剖析四川省交通运输行业技能人才现状，找准制约四川省交通运输行业技能人才发展、人才资源优化的瓶颈，探索符合四川省交通运输行业发展特点的人才资源开发规律；结合当前技能人才问题的态势及四川省交通运输行业潜在的优势和基础条件，研究提出四川省交通运输行业技能人才发展及对策建议，形成《</w:t>
      </w:r>
      <w:r>
        <w:rPr>
          <w:rFonts w:hint="eastAsia" w:ascii="仿宋" w:hAnsi="仿宋" w:eastAsia="仿宋" w:cs="仿宋"/>
          <w:sz w:val="24"/>
          <w:szCs w:val="24"/>
          <w:highlight w:val="none"/>
          <w:lang w:eastAsia="zh-CN"/>
        </w:rPr>
        <w:t>四川省交通运输行业人才研究</w:t>
      </w:r>
      <w:r>
        <w:rPr>
          <w:rFonts w:hint="eastAsia" w:ascii="仿宋" w:hAnsi="仿宋" w:eastAsia="仿宋" w:cs="仿宋"/>
          <w:sz w:val="24"/>
          <w:szCs w:val="24"/>
          <w:highlight w:val="none"/>
        </w:rPr>
        <w:t>报告》，为四川省交通运输行业技能人才建设提供有力的人才支撑。</w:t>
      </w:r>
    </w:p>
    <w:p>
      <w:pPr>
        <w:pStyle w:val="5"/>
        <w:adjustRightInd w:val="0"/>
        <w:snapToGrid w:val="0"/>
        <w:spacing w:after="0"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kern w:val="44"/>
          <w:sz w:val="24"/>
          <w:highlight w:val="none"/>
        </w:rPr>
        <w:t>要求2024年9月中旬完成研究报告初稿撰写，2024年10月底前完成报告修改，11月底前通过专家评审。</w:t>
      </w:r>
    </w:p>
    <w:p>
      <w:pPr>
        <w:pStyle w:val="5"/>
        <w:adjustRightInd w:val="0"/>
        <w:snapToGrid w:val="0"/>
        <w:spacing w:after="0" w:line="312"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★3、本项目著作权和所有权归采购人所有，未经采购人许可，不得在各类媒介和学术期刊上进行发布发表，同时遵守相关保密协定，给采购人造成损失和影响的，承担相应的法律责任和赔偿相应的损失。</w:t>
      </w:r>
    </w:p>
    <w:p>
      <w:pPr>
        <w:pStyle w:val="5"/>
        <w:adjustRightInd w:val="0"/>
        <w:snapToGrid w:val="0"/>
        <w:spacing w:after="0" w:line="312" w:lineRule="auto"/>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4、</w:t>
      </w:r>
      <w:r>
        <w:rPr>
          <w:rFonts w:hint="eastAsia" w:ascii="仿宋" w:hAnsi="仿宋" w:eastAsia="仿宋" w:cs="仿宋"/>
          <w:kern w:val="0"/>
          <w:sz w:val="24"/>
          <w:highlight w:val="none"/>
        </w:rPr>
        <w:t>供应商应结合本项目编制服务方案：对项目的理解、服务计划设计、研究框架、研究进度安排、研究作业工序、研究方式及调查方法、研究成果编制、研究思路、应急方案、人员培训计划。</w:t>
      </w:r>
    </w:p>
    <w:p>
      <w:pPr>
        <w:snapToGrid w:val="0"/>
        <w:spacing w:line="312" w:lineRule="auto"/>
        <w:ind w:left="562" w:hanging="562" w:hangingChars="200"/>
        <w:outlineLvl w:val="2"/>
        <w:rPr>
          <w:rFonts w:hint="eastAsia" w:ascii="仿宋" w:hAnsi="仿宋" w:eastAsia="仿宋" w:cs="仿宋"/>
          <w:kern w:val="44"/>
          <w:sz w:val="24"/>
          <w:highlight w:val="none"/>
        </w:rPr>
      </w:pPr>
      <w:r>
        <w:rPr>
          <w:rFonts w:hint="eastAsia" w:ascii="仿宋" w:hAnsi="仿宋" w:eastAsia="仿宋" w:cs="仿宋"/>
          <w:b/>
          <w:bCs/>
          <w:kern w:val="44"/>
          <w:sz w:val="28"/>
          <w:szCs w:val="28"/>
          <w:highlight w:val="none"/>
        </w:rPr>
        <w:t>（三）商务要求</w:t>
      </w:r>
    </w:p>
    <w:p>
      <w:pPr>
        <w:snapToGrid w:val="0"/>
        <w:spacing w:line="312" w:lineRule="auto"/>
        <w:ind w:firstLine="481" w:firstLineChars="200"/>
        <w:rPr>
          <w:rFonts w:ascii="仿宋" w:hAnsi="仿宋" w:eastAsia="仿宋" w:cs="仿宋"/>
          <w:b/>
          <w:bCs/>
          <w:kern w:val="44"/>
          <w:sz w:val="24"/>
          <w:highlight w:val="none"/>
        </w:rPr>
      </w:pPr>
      <w:r>
        <w:rPr>
          <w:rFonts w:hint="eastAsia" w:ascii="仿宋" w:hAnsi="仿宋" w:eastAsia="仿宋" w:cs="仿宋"/>
          <w:b/>
          <w:sz w:val="24"/>
          <w:highlight w:val="none"/>
        </w:rPr>
        <w:t>★</w:t>
      </w:r>
      <w:r>
        <w:rPr>
          <w:rFonts w:hint="eastAsia" w:ascii="仿宋" w:hAnsi="仿宋" w:eastAsia="仿宋" w:cs="仿宋"/>
          <w:b/>
          <w:bCs/>
          <w:kern w:val="44"/>
          <w:sz w:val="24"/>
          <w:highlight w:val="none"/>
        </w:rPr>
        <w:t>1、服务时间及地点</w:t>
      </w:r>
    </w:p>
    <w:p>
      <w:pPr>
        <w:snapToGrid w:val="0"/>
        <w:spacing w:line="312" w:lineRule="auto"/>
        <w:ind w:firstLine="481" w:firstLineChars="200"/>
        <w:rPr>
          <w:rFonts w:hint="eastAsia" w:ascii="仿宋" w:hAnsi="仿宋" w:eastAsia="仿宋" w:cs="仿宋"/>
          <w:b/>
          <w:bCs/>
          <w:kern w:val="44"/>
          <w:sz w:val="24"/>
          <w:highlight w:val="none"/>
        </w:rPr>
      </w:pPr>
      <w:r>
        <w:rPr>
          <w:rFonts w:hint="eastAsia" w:ascii="仿宋" w:hAnsi="仿宋" w:eastAsia="仿宋" w:cs="仿宋"/>
          <w:b/>
          <w:bCs/>
          <w:kern w:val="44"/>
          <w:sz w:val="24"/>
          <w:highlight w:val="none"/>
        </w:rPr>
        <w:t>（1）服务时间：</w:t>
      </w:r>
      <w:r>
        <w:rPr>
          <w:rFonts w:hint="eastAsia" w:ascii="仿宋" w:hAnsi="仿宋" w:eastAsia="仿宋" w:cs="仿宋"/>
          <w:kern w:val="44"/>
          <w:sz w:val="24"/>
          <w:highlight w:val="none"/>
        </w:rPr>
        <w:t>2024年9月中旬完成研究报告初稿撰写，2024年10月底前完成报告修改，11月底前通过专家评审。</w:t>
      </w:r>
    </w:p>
    <w:p>
      <w:pPr>
        <w:snapToGrid w:val="0"/>
        <w:spacing w:line="312" w:lineRule="auto"/>
        <w:ind w:firstLine="481" w:firstLineChars="200"/>
        <w:rPr>
          <w:rFonts w:hint="eastAsia" w:ascii="仿宋" w:hAnsi="仿宋" w:eastAsia="仿宋" w:cs="仿宋"/>
          <w:b/>
          <w:bCs/>
          <w:kern w:val="44"/>
          <w:sz w:val="24"/>
          <w:highlight w:val="none"/>
        </w:rPr>
      </w:pPr>
      <w:r>
        <w:rPr>
          <w:rFonts w:hint="eastAsia" w:ascii="仿宋" w:hAnsi="仿宋" w:eastAsia="仿宋" w:cs="仿宋"/>
          <w:b/>
          <w:sz w:val="24"/>
          <w:highlight w:val="none"/>
        </w:rPr>
        <w:t>（2）</w:t>
      </w:r>
      <w:r>
        <w:rPr>
          <w:rFonts w:hint="eastAsia" w:ascii="仿宋" w:hAnsi="仿宋" w:eastAsia="仿宋" w:cs="仿宋"/>
          <w:b/>
          <w:bCs/>
          <w:kern w:val="44"/>
          <w:sz w:val="24"/>
          <w:highlight w:val="none"/>
        </w:rPr>
        <w:t>服务地点：</w:t>
      </w:r>
      <w:r>
        <w:rPr>
          <w:rFonts w:hint="eastAsia" w:ascii="仿宋" w:hAnsi="仿宋" w:eastAsia="仿宋" w:cs="仿宋"/>
          <w:kern w:val="44"/>
          <w:sz w:val="24"/>
          <w:highlight w:val="none"/>
        </w:rPr>
        <w:t>采购人指定地点</w:t>
      </w:r>
      <w:r>
        <w:rPr>
          <w:rFonts w:hint="eastAsia" w:ascii="仿宋" w:hAnsi="仿宋" w:eastAsia="仿宋" w:cs="仿宋"/>
          <w:b/>
          <w:bCs/>
          <w:kern w:val="44"/>
          <w:sz w:val="24"/>
          <w:highlight w:val="none"/>
        </w:rPr>
        <w:t>。</w:t>
      </w:r>
    </w:p>
    <w:p>
      <w:pPr>
        <w:snapToGrid w:val="0"/>
        <w:spacing w:line="312" w:lineRule="auto"/>
        <w:ind w:firstLine="481" w:firstLineChars="200"/>
        <w:rPr>
          <w:rFonts w:hint="eastAsia" w:ascii="仿宋" w:hAnsi="仿宋" w:eastAsia="仿宋" w:cs="仿宋"/>
          <w:b/>
          <w:bCs/>
          <w:kern w:val="44"/>
          <w:sz w:val="24"/>
          <w:highlight w:val="none"/>
        </w:rPr>
      </w:pPr>
      <w:r>
        <w:rPr>
          <w:rFonts w:hint="eastAsia" w:ascii="仿宋" w:hAnsi="仿宋" w:eastAsia="仿宋" w:cs="仿宋"/>
          <w:b/>
          <w:sz w:val="24"/>
          <w:highlight w:val="none"/>
        </w:rPr>
        <w:t>★</w:t>
      </w:r>
      <w:r>
        <w:rPr>
          <w:rFonts w:hint="eastAsia" w:ascii="仿宋" w:hAnsi="仿宋" w:eastAsia="仿宋" w:cs="仿宋"/>
          <w:b/>
          <w:bCs/>
          <w:kern w:val="0"/>
          <w:sz w:val="24"/>
          <w:highlight w:val="none"/>
        </w:rPr>
        <w:t>2、支付方式：</w:t>
      </w:r>
      <w:r>
        <w:rPr>
          <w:rFonts w:hint="eastAsia" w:ascii="仿宋" w:hAnsi="仿宋" w:eastAsia="仿宋" w:cs="仿宋"/>
          <w:kern w:val="0"/>
          <w:sz w:val="24"/>
          <w:highlight w:val="none"/>
        </w:rPr>
        <w:t>分期付清</w:t>
      </w:r>
      <w:r>
        <w:rPr>
          <w:rFonts w:hint="eastAsia" w:ascii="仿宋" w:hAnsi="仿宋" w:eastAsia="仿宋" w:cs="仿宋"/>
          <w:bCs/>
          <w:kern w:val="0"/>
          <w:sz w:val="24"/>
          <w:highlight w:val="none"/>
        </w:rPr>
        <w:t>。</w:t>
      </w:r>
    </w:p>
    <w:p>
      <w:pPr>
        <w:snapToGrid w:val="0"/>
        <w:spacing w:line="312" w:lineRule="auto"/>
        <w:ind w:firstLine="481" w:firstLineChars="200"/>
        <w:rPr>
          <w:rFonts w:hint="eastAsia" w:ascii="仿宋" w:hAnsi="仿宋" w:eastAsia="仿宋" w:cs="仿宋"/>
          <w:bCs/>
          <w:color w:val="auto"/>
          <w:kern w:val="0"/>
          <w:sz w:val="24"/>
          <w:highlight w:val="none"/>
        </w:rPr>
      </w:pPr>
      <w:r>
        <w:rPr>
          <w:rFonts w:hint="eastAsia" w:ascii="仿宋" w:hAnsi="仿宋" w:eastAsia="仿宋" w:cs="仿宋"/>
          <w:b/>
          <w:color w:val="auto"/>
          <w:sz w:val="24"/>
          <w:highlight w:val="none"/>
        </w:rPr>
        <w:t>★</w:t>
      </w:r>
      <w:r>
        <w:rPr>
          <w:rFonts w:hint="eastAsia" w:ascii="仿宋" w:hAnsi="仿宋" w:eastAsia="仿宋" w:cs="仿宋"/>
          <w:b/>
          <w:color w:val="auto"/>
          <w:kern w:val="0"/>
          <w:sz w:val="24"/>
          <w:highlight w:val="none"/>
        </w:rPr>
        <w:t>3、支付约定</w:t>
      </w:r>
      <w:r>
        <w:rPr>
          <w:rFonts w:hint="eastAsia" w:ascii="仿宋" w:hAnsi="仿宋" w:eastAsia="仿宋" w:cs="仿宋"/>
          <w:bCs/>
          <w:color w:val="auto"/>
          <w:kern w:val="0"/>
          <w:sz w:val="24"/>
          <w:highlight w:val="none"/>
        </w:rPr>
        <w:t>：</w:t>
      </w:r>
      <w:r>
        <w:rPr>
          <w:rFonts w:hint="eastAsia" w:ascii="仿宋" w:hAnsi="仿宋" w:eastAsia="仿宋" w:cs="仿宋"/>
          <w:color w:val="auto"/>
          <w:kern w:val="0"/>
          <w:sz w:val="24"/>
          <w:highlight w:val="none"/>
        </w:rPr>
        <w:t>合同签订后15日内，采购人向成交供应商支付合同金额的30%；项目研究报告初稿编写完成后15日内支付合同金额的30%；项目履约完成验收合格后15日内支付合同金额的40%</w:t>
      </w:r>
      <w:r>
        <w:rPr>
          <w:rFonts w:hint="eastAsia" w:ascii="仿宋" w:hAnsi="仿宋" w:eastAsia="仿宋" w:cs="仿宋"/>
          <w:bCs/>
          <w:color w:val="auto"/>
          <w:kern w:val="0"/>
          <w:sz w:val="24"/>
          <w:highlight w:val="none"/>
        </w:rPr>
        <w:t>。成交供应商须提供合法有效完整的完税发票及凭证资料，采购人在收到有效完整的完税发票及凭证资料后支付相应价款。</w:t>
      </w:r>
    </w:p>
    <w:p>
      <w:pPr>
        <w:snapToGrid w:val="0"/>
        <w:spacing w:line="312" w:lineRule="auto"/>
        <w:ind w:firstLine="481" w:firstLineChars="200"/>
        <w:rPr>
          <w:rFonts w:ascii="仿宋" w:hAnsi="仿宋" w:eastAsia="仿宋" w:cs="仿宋"/>
          <w:kern w:val="0"/>
          <w:sz w:val="24"/>
          <w:highlight w:val="none"/>
        </w:rPr>
      </w:pPr>
      <w:r>
        <w:rPr>
          <w:rFonts w:hint="eastAsia" w:ascii="仿宋" w:hAnsi="仿宋" w:eastAsia="仿宋" w:cs="仿宋"/>
          <w:b/>
          <w:sz w:val="24"/>
          <w:highlight w:val="none"/>
        </w:rPr>
        <w:t>★</w:t>
      </w:r>
      <w:r>
        <w:rPr>
          <w:rFonts w:hint="eastAsia" w:ascii="仿宋" w:hAnsi="仿宋" w:eastAsia="仿宋" w:cs="仿宋"/>
          <w:b/>
          <w:bCs/>
          <w:kern w:val="0"/>
          <w:sz w:val="24"/>
          <w:highlight w:val="none"/>
        </w:rPr>
        <w:t>4、合同价款：</w:t>
      </w:r>
      <w:r>
        <w:rPr>
          <w:rFonts w:hint="eastAsia" w:ascii="仿宋" w:hAnsi="仿宋" w:eastAsia="仿宋" w:cs="仿宋"/>
          <w:kern w:val="0"/>
          <w:sz w:val="24"/>
          <w:highlight w:val="none"/>
        </w:rPr>
        <w:t>报价应是完成本项目所有采购内容和磋商文件规定的全部费用。</w:t>
      </w:r>
    </w:p>
    <w:p>
      <w:pPr>
        <w:snapToGrid w:val="0"/>
        <w:spacing w:line="312" w:lineRule="auto"/>
        <w:ind w:firstLine="481" w:firstLineChars="200"/>
        <w:rPr>
          <w:rFonts w:ascii="仿宋" w:hAnsi="仿宋" w:eastAsia="仿宋" w:cs="仿宋"/>
          <w:b/>
          <w:bCs/>
          <w:kern w:val="0"/>
          <w:sz w:val="24"/>
          <w:highlight w:val="none"/>
        </w:rPr>
      </w:pPr>
      <w:r>
        <w:rPr>
          <w:rFonts w:hint="eastAsia" w:ascii="仿宋" w:hAnsi="仿宋" w:eastAsia="仿宋" w:cs="仿宋"/>
          <w:b/>
          <w:sz w:val="24"/>
          <w:highlight w:val="none"/>
        </w:rPr>
        <w:t>★</w:t>
      </w:r>
      <w:r>
        <w:rPr>
          <w:rFonts w:hint="eastAsia" w:ascii="仿宋" w:hAnsi="仿宋" w:eastAsia="仿宋" w:cs="仿宋"/>
          <w:b/>
          <w:bCs/>
          <w:kern w:val="0"/>
          <w:sz w:val="24"/>
          <w:highlight w:val="none"/>
        </w:rPr>
        <w:t>5、验收方法和标准</w:t>
      </w:r>
      <w:bookmarkStart w:id="1" w:name="_Toc13673"/>
      <w:bookmarkStart w:id="2" w:name="_Toc821"/>
      <w:r>
        <w:rPr>
          <w:rFonts w:hint="eastAsia" w:ascii="仿宋" w:hAnsi="仿宋" w:eastAsia="仿宋" w:cs="仿宋"/>
          <w:b/>
          <w:bCs/>
          <w:kern w:val="0"/>
          <w:sz w:val="24"/>
          <w:highlight w:val="none"/>
        </w:rPr>
        <w:t>：</w:t>
      </w:r>
    </w:p>
    <w:p>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（1）符合国家、行业标准、四川省地方标准规定的验收标准。</w:t>
      </w:r>
    </w:p>
    <w:p>
      <w:pPr>
        <w:snapToGrid w:val="0"/>
        <w:spacing w:line="312" w:lineRule="auto"/>
        <w:ind w:firstLine="480" w:firstLineChars="200"/>
        <w:rPr>
          <w:rFonts w:hint="eastAsia" w:ascii="仿宋" w:hAnsi="仿宋" w:eastAsia="仿宋" w:cs="仿宋"/>
          <w:kern w:val="0"/>
          <w:sz w:val="24"/>
          <w:highlight w:val="none"/>
        </w:rPr>
      </w:pPr>
      <w:r>
        <w:rPr>
          <w:rFonts w:hint="eastAsia" w:ascii="仿宋" w:hAnsi="仿宋" w:eastAsia="仿宋" w:cs="仿宋"/>
          <w:kern w:val="0"/>
          <w:sz w:val="24"/>
          <w:highlight w:val="none"/>
        </w:rPr>
        <w:t>（2）其他未尽事宜应参照《财政部关于进一步加强政府采购需求和履约验收管理的指导意见》(财库〔2016〕205号)的要求进行验收</w:t>
      </w:r>
      <w:r>
        <w:rPr>
          <w:rFonts w:hint="eastAsia" w:ascii="仿宋" w:hAnsi="仿宋" w:eastAsia="仿宋" w:cs="仿宋"/>
          <w:color w:val="FF0000"/>
          <w:kern w:val="0"/>
          <w:sz w:val="24"/>
          <w:highlight w:val="none"/>
        </w:rPr>
        <w:t>。</w:t>
      </w:r>
    </w:p>
    <w:bookmarkEnd w:id="1"/>
    <w:bookmarkEnd w:id="2"/>
    <w:p>
      <w:pPr>
        <w:snapToGrid w:val="0"/>
        <w:spacing w:line="312" w:lineRule="auto"/>
        <w:ind w:firstLine="481" w:firstLineChars="200"/>
        <w:rPr>
          <w:rFonts w:ascii="仿宋" w:hAnsi="仿宋" w:eastAsia="仿宋" w:cs="仿宋"/>
          <w:b/>
          <w:sz w:val="24"/>
          <w:highlight w:val="none"/>
        </w:rPr>
      </w:pPr>
      <w:bookmarkStart w:id="3" w:name="_Toc1436"/>
      <w:bookmarkStart w:id="4" w:name="_Toc30165"/>
      <w:bookmarkStart w:id="5" w:name="_Toc29648"/>
      <w:r>
        <w:rPr>
          <w:rFonts w:hint="eastAsia" w:ascii="仿宋" w:hAnsi="仿宋" w:eastAsia="仿宋" w:cs="仿宋"/>
          <w:b/>
          <w:sz w:val="24"/>
          <w:highlight w:val="none"/>
        </w:rPr>
        <w:t>6、保险</w:t>
      </w:r>
      <w:bookmarkEnd w:id="3"/>
      <w:bookmarkEnd w:id="4"/>
      <w:bookmarkEnd w:id="5"/>
    </w:p>
    <w:p>
      <w:pPr>
        <w:snapToGrid w:val="0"/>
        <w:spacing w:line="312"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1）供应商应当遵守国家有关消防、安全、生产操作、劳动保护等方面的规定，并根据自身实际情况和项目履约实际情况，购买涉及上述履约风险的对应保险，保险金额以抵消可能发生的事故因其发生所造成的财产、人身损失承担赔偿保险金责任，维护保险标的的安全。</w:t>
      </w:r>
    </w:p>
    <w:p>
      <w:pPr>
        <w:snapToGrid w:val="0"/>
        <w:spacing w:line="312" w:lineRule="auto"/>
        <w:ind w:firstLine="480" w:firstLineChars="200"/>
        <w:rPr>
          <w:rFonts w:ascii="仿宋" w:hAnsi="仿宋" w:eastAsia="仿宋" w:cs="仿宋"/>
          <w:kern w:val="0"/>
          <w:sz w:val="24"/>
          <w:highlight w:val="none"/>
        </w:rPr>
      </w:pPr>
      <w:r>
        <w:rPr>
          <w:rFonts w:hint="eastAsia" w:ascii="仿宋" w:hAnsi="仿宋" w:eastAsia="仿宋" w:cs="仿宋"/>
          <w:kern w:val="0"/>
          <w:sz w:val="24"/>
          <w:highlight w:val="none"/>
        </w:rPr>
        <w:t>（2）供应商为本项目提供履约的所有人员应依照《中华人民共和国劳动合同法》订立劳动合同，如有退休人员应签订劳务合同，并为上述人员购买意外保险，涉及第三者责任的还应当为其购买第三者责任险。</w:t>
      </w:r>
    </w:p>
    <w:p>
      <w:pPr>
        <w:snapToGrid w:val="0"/>
        <w:spacing w:line="312" w:lineRule="auto"/>
        <w:ind w:firstLine="481" w:firstLineChars="200"/>
        <w:rPr>
          <w:rFonts w:ascii="仿宋" w:hAnsi="仿宋" w:eastAsia="仿宋" w:cs="仿宋"/>
          <w:b/>
          <w:sz w:val="24"/>
          <w:highlight w:val="none"/>
        </w:rPr>
      </w:pPr>
      <w:bookmarkStart w:id="6" w:name="_Toc13746"/>
      <w:bookmarkStart w:id="7" w:name="_Toc14109"/>
      <w:bookmarkStart w:id="8" w:name="_Toc2218"/>
      <w:bookmarkStart w:id="9" w:name="_Toc14685"/>
      <w:bookmarkStart w:id="10" w:name="_Toc27313"/>
      <w:bookmarkStart w:id="11" w:name="_Toc8092"/>
      <w:bookmarkStart w:id="12" w:name="_Toc12073"/>
      <w:bookmarkStart w:id="13" w:name="_Toc13362"/>
      <w:bookmarkStart w:id="14" w:name="_Toc11570"/>
      <w:bookmarkStart w:id="15" w:name="_Toc32286_WPSOffice_Level2"/>
      <w:bookmarkStart w:id="16" w:name="_Toc32726"/>
      <w:bookmarkStart w:id="17" w:name="_Toc22026"/>
      <w:bookmarkStart w:id="18" w:name="_Toc20781"/>
      <w:r>
        <w:rPr>
          <w:rFonts w:hint="eastAsia" w:ascii="仿宋" w:hAnsi="仿宋" w:eastAsia="仿宋" w:cs="仿宋"/>
          <w:b/>
          <w:sz w:val="24"/>
          <w:highlight w:val="none"/>
        </w:rPr>
        <w:t>7、其他要求</w:t>
      </w:r>
      <w:bookmarkEnd w:id="6"/>
      <w:bookmarkEnd w:id="7"/>
      <w:bookmarkEnd w:id="8"/>
      <w:bookmarkEnd w:id="9"/>
      <w:bookmarkEnd w:id="10"/>
      <w:bookmarkEnd w:id="11"/>
      <w:bookmarkEnd w:id="12"/>
      <w:bookmarkEnd w:id="13"/>
      <w:bookmarkEnd w:id="14"/>
      <w:bookmarkEnd w:id="15"/>
      <w:bookmarkEnd w:id="16"/>
      <w:bookmarkEnd w:id="17"/>
      <w:bookmarkEnd w:id="18"/>
    </w:p>
    <w:p>
      <w:pPr>
        <w:pStyle w:val="8"/>
        <w:tabs>
          <w:tab w:val="left" w:pos="0"/>
          <w:tab w:val="left" w:pos="1134"/>
        </w:tabs>
        <w:snapToGrid w:val="0"/>
        <w:spacing w:line="312" w:lineRule="auto"/>
        <w:ind w:firstLine="480"/>
        <w:rPr>
          <w:rFonts w:ascii="仿宋" w:hAnsi="仿宋" w:eastAsia="仿宋" w:cs="仿宋"/>
          <w:kern w:val="0"/>
          <w:sz w:val="24"/>
          <w:szCs w:val="22"/>
          <w:highlight w:val="none"/>
        </w:rPr>
      </w:pPr>
      <w:r>
        <w:rPr>
          <w:rFonts w:hint="eastAsia" w:ascii="仿宋" w:hAnsi="仿宋" w:eastAsia="仿宋" w:cs="仿宋"/>
          <w:kern w:val="0"/>
          <w:sz w:val="24"/>
          <w:szCs w:val="22"/>
          <w:highlight w:val="none"/>
        </w:rPr>
        <w:t>（1）供应商应建立良好的项目实施质量管理、职业健康安全管理以及环境管理体系，保障项目实施质量以及相关人员健康安全和实施环境安全。</w:t>
      </w:r>
    </w:p>
    <w:p>
      <w:pPr>
        <w:pStyle w:val="9"/>
        <w:widowControl w:val="0"/>
        <w:snapToGrid w:val="0"/>
        <w:spacing w:line="312" w:lineRule="auto"/>
        <w:ind w:firstLine="480" w:firstLineChars="200"/>
        <w:rPr>
          <w:rFonts w:ascii="仿宋" w:hAnsi="仿宋" w:eastAsia="仿宋" w:cs="华文仿宋"/>
          <w:color w:val="auto"/>
          <w:sz w:val="24"/>
          <w:szCs w:val="24"/>
          <w:highlight w:val="none"/>
        </w:rPr>
      </w:pPr>
      <w:r>
        <w:rPr>
          <w:rFonts w:hint="eastAsia" w:ascii="仿宋" w:hAnsi="仿宋" w:eastAsia="仿宋" w:cs="仿宋"/>
          <w:color w:val="auto"/>
          <w:sz w:val="24"/>
          <w:szCs w:val="22"/>
          <w:highlight w:val="none"/>
        </w:rPr>
        <w:t>（2）供应商应为本项目配备项目实施相关人员。采购人对于未按照磋商文件及响应文件相关内容执行或存在不合理的部分有权下达整改通知书，并要</w:t>
      </w:r>
      <w:r>
        <w:rPr>
          <w:rFonts w:hint="eastAsia" w:ascii="仿宋" w:hAnsi="仿宋" w:eastAsia="仿宋" w:cs="华文仿宋"/>
          <w:color w:val="auto"/>
          <w:sz w:val="24"/>
          <w:szCs w:val="24"/>
          <w:highlight w:val="none"/>
        </w:rPr>
        <w:t>求供应商限期整改。</w:t>
      </w:r>
    </w:p>
    <w:p>
      <w:pPr>
        <w:pStyle w:val="9"/>
        <w:widowControl w:val="0"/>
        <w:snapToGrid w:val="0"/>
        <w:spacing w:line="312" w:lineRule="auto"/>
        <w:ind w:firstLine="480" w:firstLineChars="200"/>
        <w:rPr>
          <w:rFonts w:ascii="仿宋" w:hAnsi="仿宋" w:eastAsia="仿宋" w:cs="华文仿宋"/>
          <w:color w:val="auto"/>
          <w:sz w:val="24"/>
          <w:szCs w:val="24"/>
          <w:highlight w:val="none"/>
        </w:rPr>
      </w:pPr>
      <w:r>
        <w:rPr>
          <w:rFonts w:hint="eastAsia" w:ascii="仿宋" w:hAnsi="仿宋" w:eastAsia="仿宋" w:cs="华文仿宋"/>
          <w:color w:val="auto"/>
          <w:sz w:val="24"/>
          <w:szCs w:val="24"/>
          <w:highlight w:val="none"/>
        </w:rPr>
        <w:t>（3）供应商在项目执行过程中定期及时向采购人通告本项目的重大事项及其进度。</w:t>
      </w:r>
    </w:p>
    <w:p>
      <w:pPr>
        <w:snapToGrid w:val="0"/>
        <w:spacing w:line="312" w:lineRule="auto"/>
        <w:ind w:firstLine="420" w:firstLineChars="175"/>
        <w:rPr>
          <w:rFonts w:ascii="仿宋" w:hAnsi="仿宋" w:eastAsia="仿宋" w:cs="华文仿宋"/>
          <w:sz w:val="24"/>
          <w:szCs w:val="24"/>
          <w:highlight w:val="none"/>
        </w:rPr>
      </w:pPr>
      <w:r>
        <w:rPr>
          <w:rFonts w:hint="eastAsia" w:ascii="仿宋" w:hAnsi="仿宋" w:eastAsia="仿宋" w:cs="华文仿宋"/>
          <w:sz w:val="24"/>
          <w:szCs w:val="24"/>
          <w:highlight w:val="none"/>
        </w:rPr>
        <w:t>（4）接受项目行业管理部门及政府有关部门的指导，接受采购人的监督。</w:t>
      </w:r>
    </w:p>
    <w:p>
      <w:pPr>
        <w:pStyle w:val="2"/>
        <w:rPr>
          <w:rFonts w:hint="eastAsia"/>
          <w:highlight w:val="none"/>
        </w:rPr>
      </w:pPr>
    </w:p>
    <w:p>
      <w:pPr>
        <w:snapToGrid w:val="0"/>
        <w:spacing w:line="312" w:lineRule="auto"/>
        <w:ind w:firstLine="421" w:firstLineChars="175"/>
        <w:rPr>
          <w:rFonts w:ascii="仿宋" w:hAnsi="仿宋" w:eastAsia="仿宋" w:cs="仿宋"/>
          <w:b/>
          <w:sz w:val="24"/>
          <w:highlight w:val="none"/>
        </w:rPr>
      </w:pPr>
      <w:r>
        <w:rPr>
          <w:rFonts w:hint="eastAsia" w:ascii="仿宋" w:hAnsi="仿宋" w:eastAsia="仿宋" w:cs="仿宋"/>
          <w:b/>
          <w:bCs/>
          <w:kern w:val="44"/>
          <w:sz w:val="24"/>
          <w:highlight w:val="none"/>
        </w:rPr>
        <w:t>注：本章中</w:t>
      </w:r>
      <w:r>
        <w:rPr>
          <w:rFonts w:hint="eastAsia" w:ascii="仿宋" w:hAnsi="仿宋" w:eastAsia="仿宋" w:cs="仿宋"/>
          <w:b/>
          <w:sz w:val="24"/>
          <w:highlight w:val="none"/>
        </w:rPr>
        <w:t>带“★”项内容为本项目实质性要求，未响应或不满足，按无效响应处理。</w:t>
      </w:r>
    </w:p>
    <w:p>
      <w:pPr>
        <w:pStyle w:val="2"/>
        <w:rPr>
          <w:rFonts w:hint="eastAsia"/>
          <w:highlight w:val="none"/>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等线">
    <w:altName w:val="宋体"/>
    <w:panose1 w:val="02010600030101010101"/>
    <w:charset w:val="00"/>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仿宋">
    <w:altName w:val="宋体"/>
    <w:panose1 w:val="02010600040101010101"/>
    <w:charset w:val="00"/>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FE4906"/>
    <w:rsid w:val="5FFE4906"/>
    <w:rsid w:val="FF5BB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eastAsia="宋体"/>
      <w:szCs w:val="24"/>
    </w:rPr>
  </w:style>
  <w:style w:type="paragraph" w:styleId="4">
    <w:name w:val="Body Text"/>
    <w:basedOn w:val="1"/>
    <w:next w:val="5"/>
    <w:qFormat/>
    <w:uiPriority w:val="0"/>
    <w:pPr>
      <w:spacing w:after="120"/>
    </w:pPr>
    <w:rPr>
      <w:rFonts w:ascii="Times New Roman" w:hAnsi="Times New Roman" w:eastAsia="宋体" w:cs="Times New Roman"/>
      <w:szCs w:val="24"/>
    </w:rPr>
  </w:style>
  <w:style w:type="paragraph" w:styleId="5">
    <w:name w:val="Body Text First Indent"/>
    <w:basedOn w:val="4"/>
    <w:unhideWhenUsed/>
    <w:qFormat/>
    <w:uiPriority w:val="99"/>
    <w:pPr>
      <w:ind w:firstLine="420" w:firstLineChars="100"/>
    </w:pPr>
    <w:rPr>
      <w:rFonts w:ascii="等线" w:hAnsi="等线" w:eastAsia="等线" w:cs="Times New Roman"/>
      <w:szCs w:val="22"/>
    </w:rPr>
  </w:style>
  <w:style w:type="paragraph" w:customStyle="1" w:styleId="8">
    <w:name w:val="正文首行缩进两字符"/>
    <w:basedOn w:val="1"/>
    <w:qFormat/>
    <w:uiPriority w:val="0"/>
    <w:pPr>
      <w:spacing w:line="360" w:lineRule="auto"/>
      <w:ind w:firstLine="200" w:firstLineChars="200"/>
    </w:pPr>
    <w:rPr>
      <w:rFonts w:ascii="Times New Roman" w:hAnsi="Times New Roman" w:eastAsia="宋体" w:cs="Times New Roman"/>
      <w:szCs w:val="24"/>
    </w:rPr>
  </w:style>
  <w:style w:type="paragraph" w:customStyle="1" w:styleId="9">
    <w:name w:val="正文（绿盟科技）"/>
    <w:qFormat/>
    <w:uiPriority w:val="0"/>
    <w:pPr>
      <w:spacing w:line="300" w:lineRule="auto"/>
    </w:pPr>
    <w:rPr>
      <w:rFonts w:ascii="Arial" w:hAnsi="Arial"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2024-05-11T14:21:00Z</dcterms:created>
  <dc:creator>user</dc:creator>
  <cp:lastModifiedBy>user</cp:lastModifiedBy>
  <cp:lastPrinted>2024-05-11T14:23:45Z</cp:lastPrinted>
  <dcterms:modified xsi:type="dcterms:W3CDTF">2024-05-11T14:47:35Z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