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leftChars="0" w:right="0" w:firstLine="0" w:firstLineChars="0"/>
        <w:jc w:val="both"/>
        <w:rPr>
          <w:color w:val="auto"/>
          <w:sz w:val="32"/>
          <w:szCs w:val="32"/>
        </w:rPr>
      </w:pPr>
      <w:bookmarkStart w:id="3" w:name="_GoBack"/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color w:val="auto"/>
          <w:sz w:val="44"/>
          <w:szCs w:val="44"/>
        </w:rPr>
      </w:pPr>
      <w:bookmarkStart w:id="0" w:name="bookmark13"/>
      <w:bookmarkStart w:id="1" w:name="bookmark12"/>
      <w:bookmarkStart w:id="2" w:name="bookmark14"/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安管人员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培训和复审流程</w:t>
      </w:r>
      <w:bookmarkEnd w:id="0"/>
      <w:bookmarkEnd w:id="1"/>
      <w:bookmarkEnd w:id="2"/>
    </w:p>
    <w:bookmarkEnd w:id="3"/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一、企业自主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培训方案备案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企业自主培训开始前至少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提前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个工作日将培训方案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CN"/>
        </w:rPr>
        <w:t>（内容及相关要求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见附件2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报我中心审核备案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原则上采用邮寄办理的方式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，经审核通过的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方可组织安管人员年度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安全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生产教育和培训。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收件人：张老师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邮寄地址：成都市武侯区武侯祠大街180号（寄顺丰普通快递）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联系电话：028-85525016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二、企业自主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培训学时审核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企业组织培训期间，我中心将不定期到现场抽查培训情况,企业在培训结束后向我中心提交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学时审核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CN"/>
        </w:rPr>
        <w:t>相关资料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内容及要求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见附件3）。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三、企业自主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培训学时录入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审核合格的学时由我中心录入我省安管人员安全生产教育和培训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台账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，并供企业和个人查询。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提交延期复审申请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企业向我中心提交延期复审资料（详见下表），我中心审核工作人员对学时完成情况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提交的资料是否符合复审要求签署意见，并接收符合要求的资料。（延期复审将在接收资料后的20个工作日内办结。）</w:t>
      </w:r>
    </w:p>
    <w:tbl>
      <w:tblPr>
        <w:tblStyle w:val="4"/>
        <w:tblpPr w:leftFromText="180" w:rightFromText="180" w:vertAnchor="text" w:horzAnchor="page" w:tblpX="1890" w:tblpY="546"/>
        <w:tblOverlap w:val="never"/>
        <w:tblW w:w="134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650"/>
        <w:gridCol w:w="3160"/>
        <w:gridCol w:w="5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zh-TW" w:eastAsia="zh-TW"/>
              </w:rPr>
              <w:br w:type="page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6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申请材料名称</w:t>
            </w:r>
          </w:p>
        </w:tc>
        <w:tc>
          <w:tcPr>
            <w:tcW w:w="31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申请材料要求</w:t>
            </w:r>
          </w:p>
        </w:tc>
        <w:tc>
          <w:tcPr>
            <w:tcW w:w="5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zh-CN"/>
              </w:rPr>
              <w:t>办理方式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</w:trPr>
        <w:tc>
          <w:tcPr>
            <w:tcW w:w="7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申请复审人员汇总表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（交通运输部三类人员管理系统中打印）</w:t>
            </w:r>
          </w:p>
        </w:tc>
        <w:tc>
          <w:tcPr>
            <w:tcW w:w="31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加盖单位公章</w:t>
            </w:r>
          </w:p>
        </w:tc>
        <w:tc>
          <w:tcPr>
            <w:tcW w:w="5890" w:type="dxa"/>
            <w:vMerge w:val="restart"/>
            <w:tcBorders>
              <w:top w:val="nil"/>
              <w:left w:val="nil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按本表格要求将所需材料扫描件发送至我中心审核邮箱（邮箱号：1621059027@qq.com）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为提高工作效率，便于审核，邮件名请统一命名为公司全称；除汇总表外，每个延期人员的资料请单独打包为一个文件，整个公司文件统一压缩成一个文件包，不按要求命名的邮件统一打回。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</w:trPr>
        <w:tc>
          <w:tcPr>
            <w:tcW w:w="765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个人延期申请表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（交通运输部三类人员管理系统中打印）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持证人员本人填写申请表，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单位签署审核意见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企业负责人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签字并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加盖单位公章</w:t>
            </w:r>
          </w:p>
        </w:tc>
        <w:tc>
          <w:tcPr>
            <w:tcW w:w="5890" w:type="dxa"/>
            <w:vMerge w:val="continue"/>
            <w:tcBorders>
              <w:left w:val="nil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3650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eastAsia="仿宋_GB2312" w:cs="Times New Roman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证书有效期内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每年不低于12学时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的学时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，三年共计达到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36个学时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学时证明应带二维码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(企业自主培训的人员提交情况说明)</w:t>
            </w:r>
          </w:p>
        </w:tc>
        <w:tc>
          <w:tcPr>
            <w:tcW w:w="5890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B7ACD1"/>
    <w:rsid w:val="F4B7A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12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330" w:line="320" w:lineRule="exact"/>
      <w:ind w:left="660" w:firstLine="5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2022-06-06T09:33:00Z</dcterms:created>
  <dc:creator>等等</dc:creator>
  <cp:lastModifiedBy>等等</cp:lastModifiedBy>
  <dcterms:modified xsi:type="dcterms:W3CDTF">2022-06-06T09:34:19Z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