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2AF" w14:textId="77BADA66" w:rsidR="00D84810" w:rsidRDefault="003733BA" w:rsidP="003733BA">
      <w:pPr>
        <w:jc w:val="center"/>
        <w:rPr>
          <w:sz w:val="36"/>
          <w:szCs w:val="36"/>
        </w:rPr>
      </w:pPr>
      <w:r w:rsidRPr="003733BA">
        <w:rPr>
          <w:rFonts w:hint="eastAsia"/>
          <w:sz w:val="36"/>
          <w:szCs w:val="36"/>
        </w:rPr>
        <w:t>2</w:t>
      </w:r>
      <w:r w:rsidRPr="003733BA">
        <w:rPr>
          <w:sz w:val="36"/>
          <w:szCs w:val="36"/>
        </w:rPr>
        <w:t>023</w:t>
      </w:r>
      <w:r w:rsidRPr="003733BA">
        <w:rPr>
          <w:rFonts w:hint="eastAsia"/>
          <w:sz w:val="36"/>
          <w:szCs w:val="36"/>
        </w:rPr>
        <w:t>年</w:t>
      </w:r>
      <w:r w:rsidRPr="003733BA">
        <w:rPr>
          <w:rFonts w:hint="eastAsia"/>
          <w:sz w:val="36"/>
          <w:szCs w:val="36"/>
        </w:rPr>
        <w:t>5</w:t>
      </w:r>
      <w:r w:rsidRPr="003733BA">
        <w:rPr>
          <w:rFonts w:hint="eastAsia"/>
          <w:sz w:val="36"/>
          <w:szCs w:val="36"/>
        </w:rPr>
        <w:t>月长江干散货综合运价指数</w:t>
      </w:r>
    </w:p>
    <w:p w14:paraId="698CB53B" w14:textId="77777777" w:rsidR="003733BA" w:rsidRDefault="003733BA" w:rsidP="003733BA">
      <w:pPr>
        <w:jc w:val="center"/>
        <w:outlineLvl w:val="0"/>
        <w:rPr>
          <w:rFonts w:eastAsia="方正小标宋简体"/>
          <w:bCs/>
          <w:kern w:val="0"/>
          <w:sz w:val="32"/>
          <w:szCs w:val="32"/>
        </w:rPr>
      </w:pPr>
    </w:p>
    <w:p w14:paraId="56118155" w14:textId="77777777" w:rsidR="003733BA" w:rsidRDefault="003733BA" w:rsidP="003733BA">
      <w:pPr>
        <w:ind w:firstLineChars="200" w:firstLine="640"/>
        <w:jc w:val="center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ascii="楷体_GB2312" w:eastAsia="楷体_GB2312" w:hint="eastAsia"/>
          <w:b/>
          <w:bCs/>
          <w:kern w:val="0"/>
          <w:sz w:val="32"/>
          <w:szCs w:val="32"/>
        </w:rPr>
        <w:t>表1  2023年5月长江干散货运价指数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795"/>
        <w:gridCol w:w="1402"/>
        <w:gridCol w:w="1063"/>
        <w:gridCol w:w="1079"/>
        <w:gridCol w:w="1175"/>
        <w:gridCol w:w="1276"/>
      </w:tblGrid>
      <w:tr w:rsidR="003733BA" w14:paraId="56020670" w14:textId="77777777" w:rsidTr="003733BA">
        <w:trPr>
          <w:trHeight w:hRule="exact" w:val="68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89B7F1B" w14:textId="77777777" w:rsidR="003733BA" w:rsidRDefault="003733BA">
            <w:pPr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Cs w:val="28"/>
              </w:rPr>
              <w:t>指数分类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06817DD" w14:textId="77777777" w:rsidR="003733BA" w:rsidRDefault="003733BA">
            <w:pPr>
              <w:jc w:val="center"/>
              <w:rPr>
                <w:rFonts w:ascii="仿宋_GB2312" w:eastAsia="仿宋_GB2312" w:hint="eastAsia"/>
                <w:b/>
                <w:kern w:val="0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Cs w:val="28"/>
              </w:rPr>
              <w:t>去年同期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4681FE0" w14:textId="77777777" w:rsidR="003733BA" w:rsidRDefault="003733BA">
            <w:pPr>
              <w:jc w:val="center"/>
              <w:rPr>
                <w:rFonts w:ascii="仿宋_GB2312" w:eastAsia="仿宋_GB2312" w:hint="eastAsia"/>
                <w:b/>
                <w:kern w:val="0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Cs w:val="28"/>
              </w:rPr>
              <w:t>上期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99B9CC3" w14:textId="77777777" w:rsidR="003733BA" w:rsidRDefault="003733BA">
            <w:pPr>
              <w:jc w:val="center"/>
              <w:rPr>
                <w:rFonts w:ascii="仿宋_GB2312" w:eastAsia="仿宋_GB2312" w:hint="eastAsia"/>
                <w:b/>
                <w:kern w:val="0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Cs w:val="28"/>
              </w:rPr>
              <w:t>本期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1D9922D" w14:textId="77777777" w:rsidR="003733BA" w:rsidRDefault="003733BA">
            <w:pPr>
              <w:jc w:val="center"/>
              <w:rPr>
                <w:rFonts w:ascii="仿宋_GB2312" w:eastAsia="仿宋_GB2312" w:hint="eastAsia"/>
                <w:b/>
                <w:kern w:val="0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Cs w:val="28"/>
              </w:rPr>
              <w:t>环比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2C977B5" w14:textId="77777777" w:rsidR="003733BA" w:rsidRDefault="003733BA">
            <w:pPr>
              <w:jc w:val="center"/>
              <w:rPr>
                <w:rFonts w:ascii="仿宋_GB2312" w:eastAsia="仿宋_GB2312" w:hint="eastAsia"/>
                <w:b/>
                <w:kern w:val="0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Cs w:val="28"/>
              </w:rPr>
              <w:t>同比</w:t>
            </w:r>
          </w:p>
        </w:tc>
      </w:tr>
      <w:tr w:rsidR="003733BA" w14:paraId="3683BCAA" w14:textId="77777777" w:rsidTr="003733BA">
        <w:trPr>
          <w:trHeight w:hRule="exact" w:val="68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6BDE38F" w14:textId="77777777" w:rsidR="003733BA" w:rsidRDefault="003733BA">
            <w:pPr>
              <w:rPr>
                <w:rFonts w:ascii="仿宋_GB2312" w:eastAsia="仿宋_GB2312" w:hint="eastAsia"/>
                <w:szCs w:val="28"/>
              </w:rPr>
            </w:pPr>
            <w:bookmarkStart w:id="0" w:name="_Hlk286729867"/>
            <w:r>
              <w:rPr>
                <w:rFonts w:ascii="仿宋_GB2312" w:eastAsia="仿宋_GB2312" w:hAnsi="宋体" w:hint="eastAsia"/>
                <w:kern w:val="0"/>
                <w:szCs w:val="28"/>
              </w:rPr>
              <w:t>干散货综合运价指数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DCFBBDD" w14:textId="77777777" w:rsidR="003733BA" w:rsidRDefault="003733BA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718.8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567021A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688.5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BC859BD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657.5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0278DA4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-4.5%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8718838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-8.5%</w:t>
            </w:r>
          </w:p>
        </w:tc>
      </w:tr>
      <w:tr w:rsidR="003733BA" w14:paraId="1386B44A" w14:textId="77777777" w:rsidTr="003733BA">
        <w:trPr>
          <w:trHeight w:hRule="exact" w:val="68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6E98405" w14:textId="77777777" w:rsidR="003733BA" w:rsidRDefault="003733BA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Cs w:val="28"/>
              </w:rPr>
              <w:t>煤炭运价指数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77AB1D8" w14:textId="77777777" w:rsidR="003733BA" w:rsidRDefault="003733BA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</w:rPr>
              <w:t>687.1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9059964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684.4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6DA56CA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653.8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1404579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-4.5%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9B5EE60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-4.8%</w:t>
            </w:r>
          </w:p>
        </w:tc>
      </w:tr>
      <w:tr w:rsidR="003733BA" w14:paraId="57EC7ECD" w14:textId="77777777" w:rsidTr="003733BA">
        <w:trPr>
          <w:trHeight w:hRule="exact" w:val="68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1BF4570" w14:textId="77777777" w:rsidR="003733BA" w:rsidRDefault="003733BA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Cs w:val="28"/>
              </w:rPr>
              <w:t>金属矿石运价指数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1D7A944" w14:textId="77777777" w:rsidR="003733BA" w:rsidRDefault="003733BA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</w:rPr>
              <w:t>505.3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985456F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477.7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8C581DA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464.7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C134975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-2.7%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AF5EF5C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-8.0%</w:t>
            </w:r>
          </w:p>
        </w:tc>
      </w:tr>
      <w:tr w:rsidR="003733BA" w14:paraId="524F8F23" w14:textId="77777777" w:rsidTr="003733BA">
        <w:trPr>
          <w:trHeight w:hRule="exact" w:val="68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6C96B45" w14:textId="77777777" w:rsidR="003733BA" w:rsidRDefault="003733BA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Cs w:val="28"/>
              </w:rPr>
              <w:t>矿建材料运价指数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8250605" w14:textId="77777777" w:rsidR="003733BA" w:rsidRDefault="003733BA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</w:rPr>
              <w:t>1506.8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F649A06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1422.5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175B877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1317.7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C32705F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-7.4%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60D9667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-12.5%</w:t>
            </w:r>
          </w:p>
        </w:tc>
      </w:tr>
      <w:tr w:rsidR="003733BA" w14:paraId="2BA8C833" w14:textId="77777777" w:rsidTr="003733BA">
        <w:trPr>
          <w:trHeight w:hRule="exact" w:val="68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1330183" w14:textId="77777777" w:rsidR="003733BA" w:rsidRDefault="003733BA">
            <w:pPr>
              <w:jc w:val="center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Cs w:val="28"/>
              </w:rPr>
              <w:t>非金属矿石运价指数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CCDE997" w14:textId="77777777" w:rsidR="003733BA" w:rsidRDefault="003733BA">
            <w:pPr>
              <w:jc w:val="center"/>
              <w:rPr>
                <w:rFonts w:ascii="仿宋_GB2312" w:eastAsia="仿宋_GB2312" w:hint="eastAsia"/>
                <w:szCs w:val="24"/>
              </w:rPr>
            </w:pPr>
            <w:r>
              <w:rPr>
                <w:rFonts w:ascii="仿宋_GB2312" w:eastAsia="仿宋_GB2312" w:hint="eastAsia"/>
              </w:rPr>
              <w:t>924.9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2870804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855.5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14B6A34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849.7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5362456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-0.7%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91CA9BF" w14:textId="77777777" w:rsidR="003733BA" w:rsidRDefault="003733B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-8.1%</w:t>
            </w:r>
          </w:p>
        </w:tc>
      </w:tr>
    </w:tbl>
    <w:bookmarkEnd w:id="0"/>
    <w:p w14:paraId="05150EC5" w14:textId="762D2E7F" w:rsidR="003733BA" w:rsidRDefault="003733BA" w:rsidP="003733BA">
      <w:pPr>
        <w:jc w:val="left"/>
        <w:rPr>
          <w:rFonts w:ascii="Times New Roman" w:eastAsia="宋体" w:hAnsi="Times New Roman" w:cs="Times New Roman" w:hint="eastAsia"/>
          <w:sz w:val="28"/>
        </w:rPr>
      </w:pPr>
      <w:r>
        <w:rPr>
          <w:noProof/>
        </w:rPr>
        <w:drawing>
          <wp:inline distT="0" distB="0" distL="0" distR="0" wp14:anchorId="54700C17" wp14:editId="6BDF7234">
            <wp:extent cx="5123815" cy="2801620"/>
            <wp:effectExtent l="0" t="0" r="635" b="17780"/>
            <wp:docPr id="595068707" name="图表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ACF9E5E" w14:textId="69501865" w:rsidR="003733BA" w:rsidRDefault="003733BA" w:rsidP="003733BA">
      <w:pPr>
        <w:jc w:val="center"/>
        <w:rPr>
          <w:sz w:val="36"/>
          <w:szCs w:val="36"/>
        </w:rPr>
      </w:pPr>
      <w:r w:rsidRPr="003733BA">
        <w:rPr>
          <w:noProof/>
          <w:sz w:val="36"/>
          <w:szCs w:val="36"/>
        </w:rPr>
        <w:lastRenderedPageBreak/>
        <w:drawing>
          <wp:inline distT="0" distB="0" distL="0" distR="0" wp14:anchorId="3FFB1A91" wp14:editId="128DE9D4">
            <wp:extent cx="4284345" cy="2809875"/>
            <wp:effectExtent l="0" t="0" r="1905" b="9525"/>
            <wp:docPr id="65390587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F9A3D" w14:textId="07E606F5" w:rsidR="003733BA" w:rsidRDefault="003733BA" w:rsidP="003733BA">
      <w:pPr>
        <w:jc w:val="center"/>
        <w:rPr>
          <w:sz w:val="36"/>
          <w:szCs w:val="36"/>
        </w:rPr>
      </w:pPr>
      <w:r w:rsidRPr="003733BA">
        <w:rPr>
          <w:rFonts w:hint="eastAsia"/>
          <w:noProof/>
          <w:sz w:val="36"/>
          <w:szCs w:val="36"/>
        </w:rPr>
        <w:drawing>
          <wp:inline distT="0" distB="0" distL="0" distR="0" wp14:anchorId="158F3F0D" wp14:editId="6D699E2D">
            <wp:extent cx="4284345" cy="2772410"/>
            <wp:effectExtent l="0" t="0" r="1905" b="8890"/>
            <wp:docPr id="18000764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0F5C5" w14:textId="79ADC49E" w:rsidR="003733BA" w:rsidRDefault="003733BA" w:rsidP="003733BA">
      <w:pPr>
        <w:jc w:val="center"/>
        <w:rPr>
          <w:sz w:val="36"/>
          <w:szCs w:val="36"/>
        </w:rPr>
      </w:pPr>
      <w:r w:rsidRPr="003733BA">
        <w:rPr>
          <w:rFonts w:hint="eastAsia"/>
          <w:noProof/>
          <w:sz w:val="36"/>
          <w:szCs w:val="36"/>
        </w:rPr>
        <w:drawing>
          <wp:inline distT="0" distB="0" distL="0" distR="0" wp14:anchorId="5F3BAD01" wp14:editId="1738D0C5">
            <wp:extent cx="4410075" cy="2809875"/>
            <wp:effectExtent l="0" t="0" r="9525" b="9525"/>
            <wp:docPr id="121266002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F1E09" w14:textId="591BEC72" w:rsidR="003733BA" w:rsidRDefault="003733BA" w:rsidP="003733BA">
      <w:pPr>
        <w:jc w:val="center"/>
        <w:rPr>
          <w:rFonts w:hint="eastAsia"/>
          <w:sz w:val="36"/>
          <w:szCs w:val="36"/>
        </w:rPr>
      </w:pPr>
      <w:r w:rsidRPr="003733BA">
        <w:rPr>
          <w:rFonts w:hint="eastAsia"/>
          <w:noProof/>
          <w:sz w:val="36"/>
          <w:szCs w:val="36"/>
        </w:rPr>
        <w:lastRenderedPageBreak/>
        <w:drawing>
          <wp:inline distT="0" distB="0" distL="0" distR="0" wp14:anchorId="7D43DC4D" wp14:editId="67984F02">
            <wp:extent cx="4410075" cy="2824480"/>
            <wp:effectExtent l="0" t="0" r="9525" b="0"/>
            <wp:docPr id="141776875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5713" w14:textId="77777777" w:rsidR="003733BA" w:rsidRDefault="003733BA" w:rsidP="003733BA">
      <w:pPr>
        <w:jc w:val="center"/>
        <w:rPr>
          <w:sz w:val="36"/>
          <w:szCs w:val="36"/>
        </w:rPr>
      </w:pPr>
    </w:p>
    <w:p w14:paraId="64692BFF" w14:textId="0A2334EE" w:rsidR="003733BA" w:rsidRPr="003733BA" w:rsidRDefault="003733BA" w:rsidP="003733BA">
      <w:pPr>
        <w:jc w:val="center"/>
        <w:rPr>
          <w:sz w:val="36"/>
          <w:szCs w:val="36"/>
        </w:rPr>
      </w:pPr>
      <w:r w:rsidRPr="003733BA">
        <w:rPr>
          <w:rFonts w:hint="eastAsia"/>
          <w:sz w:val="36"/>
          <w:szCs w:val="36"/>
        </w:rPr>
        <w:t>2</w:t>
      </w:r>
      <w:r w:rsidRPr="003733BA">
        <w:rPr>
          <w:sz w:val="36"/>
          <w:szCs w:val="36"/>
        </w:rPr>
        <w:t>023</w:t>
      </w:r>
      <w:r w:rsidRPr="003733BA"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>6</w:t>
      </w:r>
      <w:r w:rsidRPr="003733BA">
        <w:rPr>
          <w:rFonts w:hint="eastAsia"/>
          <w:sz w:val="36"/>
          <w:szCs w:val="36"/>
        </w:rPr>
        <w:t>月长江</w:t>
      </w:r>
      <w:r>
        <w:rPr>
          <w:rFonts w:hint="eastAsia"/>
          <w:sz w:val="36"/>
          <w:szCs w:val="36"/>
        </w:rPr>
        <w:t>集装箱</w:t>
      </w:r>
      <w:r w:rsidRPr="003733BA">
        <w:rPr>
          <w:rFonts w:hint="eastAsia"/>
          <w:sz w:val="36"/>
          <w:szCs w:val="36"/>
        </w:rPr>
        <w:t>综合运价指数</w:t>
      </w:r>
    </w:p>
    <w:p w14:paraId="0B02E710" w14:textId="77777777" w:rsidR="00B404AE" w:rsidRDefault="00B404AE" w:rsidP="00B404AE">
      <w:pPr>
        <w:ind w:firstLineChars="600" w:firstLine="1920"/>
        <w:outlineLvl w:val="0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2023</w:t>
      </w:r>
      <w:r>
        <w:rPr>
          <w:rFonts w:eastAsia="楷体_GB2312" w:hint="eastAsia"/>
          <w:b/>
          <w:bCs/>
          <w:kern w:val="0"/>
          <w:sz w:val="32"/>
          <w:szCs w:val="32"/>
        </w:rPr>
        <w:t>年</w:t>
      </w:r>
      <w:r>
        <w:rPr>
          <w:rFonts w:eastAsia="楷体_GB2312"/>
          <w:b/>
          <w:bCs/>
          <w:kern w:val="0"/>
          <w:sz w:val="32"/>
          <w:szCs w:val="32"/>
        </w:rPr>
        <w:t>5</w:t>
      </w:r>
      <w:r>
        <w:rPr>
          <w:rFonts w:eastAsia="楷体_GB2312" w:hint="eastAsia"/>
          <w:b/>
          <w:bCs/>
          <w:kern w:val="0"/>
          <w:sz w:val="32"/>
          <w:szCs w:val="32"/>
        </w:rPr>
        <w:t>月长江集装箱运价指数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3FDBF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1280"/>
        <w:gridCol w:w="1279"/>
        <w:gridCol w:w="1165"/>
        <w:gridCol w:w="1179"/>
      </w:tblGrid>
      <w:tr w:rsidR="00B404AE" w14:paraId="552408A9" w14:textId="77777777" w:rsidTr="00B404AE">
        <w:trPr>
          <w:trHeight w:val="361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0966FF0C" w14:textId="77777777" w:rsidR="00B404AE" w:rsidRDefault="00B404AE">
            <w:pPr>
              <w:jc w:val="center"/>
              <w:rPr>
                <w:rFonts w:eastAsia="仿宋_GB2312"/>
                <w:b/>
                <w:color w:val="00008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80"/>
                <w:kern w:val="0"/>
                <w:szCs w:val="28"/>
              </w:rPr>
              <w:t>指数分类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4F53259B" w14:textId="77777777" w:rsidR="00B404AE" w:rsidRDefault="00B404AE">
            <w:pPr>
              <w:jc w:val="center"/>
              <w:rPr>
                <w:rFonts w:eastAsia="仿宋_GB2312"/>
                <w:b/>
                <w:color w:val="000080"/>
                <w:szCs w:val="28"/>
              </w:rPr>
            </w:pPr>
            <w:r>
              <w:rPr>
                <w:rFonts w:eastAsia="仿宋_GB2312" w:hint="eastAsia"/>
                <w:b/>
                <w:color w:val="000080"/>
                <w:kern w:val="0"/>
                <w:szCs w:val="28"/>
              </w:rPr>
              <w:t>去年同期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43D698A1" w14:textId="77777777" w:rsidR="00B404AE" w:rsidRDefault="00B404AE">
            <w:pPr>
              <w:jc w:val="center"/>
              <w:rPr>
                <w:rFonts w:eastAsia="仿宋_GB2312"/>
                <w:b/>
                <w:color w:val="000080"/>
                <w:szCs w:val="28"/>
              </w:rPr>
            </w:pPr>
            <w:r>
              <w:rPr>
                <w:rFonts w:eastAsia="仿宋_GB2312" w:hint="eastAsia"/>
                <w:b/>
                <w:color w:val="000080"/>
                <w:kern w:val="0"/>
                <w:szCs w:val="28"/>
              </w:rPr>
              <w:t>上期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5"/>
            <w:vAlign w:val="center"/>
            <w:hideMark/>
          </w:tcPr>
          <w:p w14:paraId="1AAA32DB" w14:textId="77777777" w:rsidR="00B404AE" w:rsidRDefault="00B404AE">
            <w:pPr>
              <w:widowControl/>
              <w:spacing w:line="255" w:lineRule="atLeast"/>
              <w:jc w:val="center"/>
              <w:rPr>
                <w:rFonts w:eastAsia="仿宋_GB2312"/>
                <w:b/>
                <w:color w:val="000080"/>
                <w:kern w:val="0"/>
                <w:szCs w:val="28"/>
              </w:rPr>
            </w:pPr>
            <w:r>
              <w:rPr>
                <w:rFonts w:eastAsia="仿宋_GB2312" w:hint="eastAsia"/>
                <w:b/>
                <w:color w:val="000080"/>
                <w:kern w:val="0"/>
                <w:szCs w:val="28"/>
              </w:rPr>
              <w:t>本期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0E6DB149" w14:textId="77777777" w:rsidR="00B404AE" w:rsidRDefault="00B404AE">
            <w:pPr>
              <w:jc w:val="center"/>
              <w:rPr>
                <w:rFonts w:eastAsia="仿宋_GB2312"/>
                <w:b/>
                <w:color w:val="000080"/>
                <w:szCs w:val="28"/>
              </w:rPr>
            </w:pPr>
            <w:r>
              <w:rPr>
                <w:rFonts w:eastAsia="仿宋_GB2312" w:hint="eastAsia"/>
                <w:b/>
                <w:color w:val="000080"/>
                <w:kern w:val="0"/>
                <w:szCs w:val="28"/>
              </w:rPr>
              <w:t>环比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2136FA10" w14:textId="77777777" w:rsidR="00B404AE" w:rsidRDefault="00B404AE">
            <w:pPr>
              <w:jc w:val="center"/>
              <w:rPr>
                <w:rFonts w:eastAsia="仿宋_GB2312"/>
                <w:b/>
                <w:color w:val="000080"/>
                <w:kern w:val="0"/>
                <w:szCs w:val="28"/>
              </w:rPr>
            </w:pPr>
            <w:r>
              <w:rPr>
                <w:rFonts w:eastAsia="仿宋_GB2312" w:hint="eastAsia"/>
                <w:b/>
                <w:color w:val="000080"/>
                <w:kern w:val="0"/>
                <w:szCs w:val="28"/>
              </w:rPr>
              <w:t>同比</w:t>
            </w:r>
          </w:p>
        </w:tc>
      </w:tr>
      <w:tr w:rsidR="00B404AE" w14:paraId="5DF192A1" w14:textId="77777777" w:rsidTr="00B404AE">
        <w:trPr>
          <w:trHeight w:val="361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626D14DB" w14:textId="77777777" w:rsidR="00B404AE" w:rsidRDefault="00B404AE">
            <w:pPr>
              <w:widowControl/>
              <w:spacing w:line="255" w:lineRule="atLeast"/>
              <w:jc w:val="center"/>
              <w:rPr>
                <w:rFonts w:eastAsia="仿宋_GB2312"/>
                <w:color w:val="000080"/>
                <w:kern w:val="0"/>
                <w:szCs w:val="28"/>
              </w:rPr>
            </w:pPr>
            <w:r>
              <w:rPr>
                <w:rFonts w:eastAsia="仿宋_GB2312" w:hint="eastAsia"/>
                <w:color w:val="000080"/>
                <w:kern w:val="0"/>
                <w:szCs w:val="28"/>
              </w:rPr>
              <w:t>集装箱综合运价指数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0DC6111E" w14:textId="77777777" w:rsidR="00B404AE" w:rsidRDefault="00B404AE">
            <w:pPr>
              <w:jc w:val="center"/>
              <w:rPr>
                <w:rFonts w:eastAsia="宋体"/>
                <w:szCs w:val="24"/>
              </w:rPr>
            </w:pPr>
            <w:r>
              <w:t>1014.6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028B7389" w14:textId="77777777" w:rsidR="00B404AE" w:rsidRDefault="00B404AE">
            <w:pPr>
              <w:jc w:val="center"/>
            </w:pPr>
            <w:r>
              <w:t>1020.3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5"/>
            <w:vAlign w:val="center"/>
            <w:hideMark/>
          </w:tcPr>
          <w:p w14:paraId="3ADBF4C2" w14:textId="77777777" w:rsidR="00B404AE" w:rsidRDefault="00B404AE">
            <w:pPr>
              <w:jc w:val="center"/>
            </w:pPr>
            <w:r>
              <w:t>1014.0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234993D7" w14:textId="77777777" w:rsidR="00B404AE" w:rsidRDefault="00B404AE">
            <w:pPr>
              <w:jc w:val="center"/>
            </w:pPr>
            <w:r>
              <w:t>-0.6%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58B97605" w14:textId="77777777" w:rsidR="00B404AE" w:rsidRDefault="00B404AE">
            <w:pPr>
              <w:jc w:val="center"/>
            </w:pPr>
            <w:r>
              <w:t>-0.1%</w:t>
            </w:r>
          </w:p>
        </w:tc>
      </w:tr>
      <w:tr w:rsidR="00B404AE" w14:paraId="4AFD6C8B" w14:textId="77777777" w:rsidTr="00B404AE">
        <w:trPr>
          <w:trHeight w:val="379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17930B26" w14:textId="77777777" w:rsidR="00B404AE" w:rsidRDefault="00B404AE">
            <w:pPr>
              <w:widowControl/>
              <w:spacing w:line="255" w:lineRule="atLeast"/>
              <w:jc w:val="center"/>
              <w:rPr>
                <w:rFonts w:eastAsia="仿宋_GB2312"/>
                <w:color w:val="000080"/>
                <w:kern w:val="0"/>
                <w:szCs w:val="28"/>
              </w:rPr>
            </w:pPr>
            <w:r>
              <w:rPr>
                <w:rFonts w:eastAsia="仿宋_GB2312" w:hint="eastAsia"/>
                <w:color w:val="000080"/>
                <w:kern w:val="0"/>
                <w:szCs w:val="28"/>
              </w:rPr>
              <w:t>上游集装箱运价指数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7F1F706A" w14:textId="77777777" w:rsidR="00B404AE" w:rsidRDefault="00B404AE">
            <w:pPr>
              <w:jc w:val="center"/>
              <w:rPr>
                <w:rFonts w:eastAsia="宋体"/>
                <w:szCs w:val="24"/>
              </w:rPr>
            </w:pPr>
            <w:r>
              <w:t>1046.7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74289AE0" w14:textId="77777777" w:rsidR="00B404AE" w:rsidRDefault="00B404AE">
            <w:pPr>
              <w:jc w:val="center"/>
            </w:pPr>
            <w:r>
              <w:t>1056.2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5"/>
            <w:vAlign w:val="center"/>
            <w:hideMark/>
          </w:tcPr>
          <w:p w14:paraId="54CA73B1" w14:textId="77777777" w:rsidR="00B404AE" w:rsidRDefault="00B404AE">
            <w:pPr>
              <w:jc w:val="center"/>
            </w:pPr>
            <w:r>
              <w:t>1056.0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75C531ED" w14:textId="77777777" w:rsidR="00B404AE" w:rsidRDefault="00B404AE">
            <w:pPr>
              <w:jc w:val="center"/>
            </w:pPr>
            <w:r>
              <w:t>0.0%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29194F21" w14:textId="77777777" w:rsidR="00B404AE" w:rsidRDefault="00B404AE">
            <w:pPr>
              <w:jc w:val="center"/>
            </w:pPr>
            <w:r>
              <w:t>0.9%</w:t>
            </w:r>
          </w:p>
        </w:tc>
      </w:tr>
      <w:tr w:rsidR="00B404AE" w14:paraId="148F06EE" w14:textId="77777777" w:rsidTr="00B404AE">
        <w:trPr>
          <w:trHeight w:val="361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7739FC3D" w14:textId="77777777" w:rsidR="00B404AE" w:rsidRDefault="00B404AE">
            <w:pPr>
              <w:widowControl/>
              <w:spacing w:line="255" w:lineRule="atLeast"/>
              <w:jc w:val="center"/>
              <w:rPr>
                <w:rFonts w:eastAsia="仿宋_GB2312"/>
                <w:color w:val="000080"/>
                <w:kern w:val="0"/>
                <w:szCs w:val="28"/>
              </w:rPr>
            </w:pPr>
            <w:r>
              <w:rPr>
                <w:rFonts w:eastAsia="仿宋_GB2312" w:hint="eastAsia"/>
                <w:color w:val="000080"/>
                <w:kern w:val="0"/>
                <w:szCs w:val="28"/>
              </w:rPr>
              <w:t>中游集装箱运价指数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068EB802" w14:textId="77777777" w:rsidR="00B404AE" w:rsidRDefault="00B404AE">
            <w:pPr>
              <w:jc w:val="center"/>
              <w:rPr>
                <w:rFonts w:eastAsia="宋体"/>
                <w:szCs w:val="24"/>
              </w:rPr>
            </w:pPr>
            <w:r>
              <w:t>919.6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2C35E458" w14:textId="77777777" w:rsidR="00B404AE" w:rsidRDefault="00B404AE">
            <w:pPr>
              <w:jc w:val="center"/>
            </w:pPr>
            <w:r>
              <w:t>938.7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5"/>
            <w:vAlign w:val="center"/>
            <w:hideMark/>
          </w:tcPr>
          <w:p w14:paraId="2A85BF9D" w14:textId="77777777" w:rsidR="00B404AE" w:rsidRDefault="00B404AE">
            <w:pPr>
              <w:jc w:val="center"/>
            </w:pPr>
            <w:r>
              <w:t>924.9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6814B3FD" w14:textId="77777777" w:rsidR="00B404AE" w:rsidRDefault="00B404AE">
            <w:pPr>
              <w:jc w:val="center"/>
            </w:pPr>
            <w:r>
              <w:t>-1.5%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7D49D576" w14:textId="77777777" w:rsidR="00B404AE" w:rsidRDefault="00B404AE">
            <w:pPr>
              <w:jc w:val="center"/>
            </w:pPr>
            <w:r>
              <w:t>0.6%</w:t>
            </w:r>
          </w:p>
        </w:tc>
      </w:tr>
      <w:tr w:rsidR="00B404AE" w14:paraId="2CCB385A" w14:textId="77777777" w:rsidTr="00B404AE">
        <w:trPr>
          <w:trHeight w:val="425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4E09A410" w14:textId="77777777" w:rsidR="00B404AE" w:rsidRDefault="00B404AE">
            <w:pPr>
              <w:widowControl/>
              <w:spacing w:line="255" w:lineRule="atLeast"/>
              <w:jc w:val="center"/>
              <w:rPr>
                <w:rFonts w:eastAsia="仿宋_GB2312"/>
                <w:color w:val="000080"/>
                <w:kern w:val="0"/>
                <w:szCs w:val="28"/>
              </w:rPr>
            </w:pPr>
            <w:r>
              <w:rPr>
                <w:rFonts w:eastAsia="仿宋_GB2312" w:hint="eastAsia"/>
                <w:color w:val="000080"/>
                <w:kern w:val="0"/>
                <w:szCs w:val="28"/>
              </w:rPr>
              <w:t>下游集装箱运价指数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62E7DE37" w14:textId="77777777" w:rsidR="00B404AE" w:rsidRDefault="00B404AE">
            <w:pPr>
              <w:jc w:val="center"/>
              <w:rPr>
                <w:rFonts w:eastAsia="宋体"/>
                <w:szCs w:val="24"/>
              </w:rPr>
            </w:pPr>
            <w:r>
              <w:t>1088.9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7444CD1A" w14:textId="77777777" w:rsidR="00B404AE" w:rsidRDefault="00B404AE">
            <w:pPr>
              <w:jc w:val="center"/>
            </w:pPr>
            <w:r>
              <w:t>1080.1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F7F5"/>
            <w:vAlign w:val="center"/>
            <w:hideMark/>
          </w:tcPr>
          <w:p w14:paraId="0E7D5895" w14:textId="77777777" w:rsidR="00B404AE" w:rsidRDefault="00B404AE">
            <w:pPr>
              <w:jc w:val="center"/>
            </w:pPr>
            <w:r>
              <w:t>1074.3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79BC0299" w14:textId="77777777" w:rsidR="00B404AE" w:rsidRDefault="00B404AE">
            <w:pPr>
              <w:jc w:val="center"/>
            </w:pPr>
            <w:r>
              <w:t>-0.5%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DBF"/>
            <w:vAlign w:val="center"/>
            <w:hideMark/>
          </w:tcPr>
          <w:p w14:paraId="3CBCA9CF" w14:textId="77777777" w:rsidR="00B404AE" w:rsidRDefault="00B404AE">
            <w:pPr>
              <w:jc w:val="center"/>
            </w:pPr>
            <w:r>
              <w:t>-1.3%</w:t>
            </w:r>
          </w:p>
        </w:tc>
      </w:tr>
    </w:tbl>
    <w:p w14:paraId="0B3D997C" w14:textId="77777777" w:rsidR="00B404AE" w:rsidRDefault="00B404AE" w:rsidP="00B404AE">
      <w:pPr>
        <w:outlineLvl w:val="0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</w:p>
    <w:p w14:paraId="5535D3C8" w14:textId="11C1E366" w:rsidR="00B404AE" w:rsidRDefault="00B404AE" w:rsidP="00B404AE">
      <w:pPr>
        <w:ind w:leftChars="-152" w:left="-319" w:firstLineChars="150" w:firstLine="315"/>
        <w:jc w:val="center"/>
        <w:outlineLvl w:val="0"/>
        <w:rPr>
          <w:rFonts w:eastAsia="宋体"/>
          <w:szCs w:val="24"/>
        </w:rPr>
      </w:pPr>
      <w:r>
        <w:rPr>
          <w:noProof/>
        </w:rPr>
        <w:lastRenderedPageBreak/>
        <w:drawing>
          <wp:inline distT="0" distB="0" distL="0" distR="0" wp14:anchorId="317FB300" wp14:editId="2026F641">
            <wp:extent cx="5028565" cy="2862580"/>
            <wp:effectExtent l="0" t="0" r="635" b="13970"/>
            <wp:docPr id="1838410237" name="图表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0A802B" w14:textId="77777777" w:rsidR="00B404AE" w:rsidRDefault="00B404AE" w:rsidP="00B404AE">
      <w:pPr>
        <w:ind w:firstLine="582"/>
        <w:jc w:val="left"/>
        <w:rPr>
          <w:rFonts w:ascii="宋体" w:hAnsi="宋体" w:cs="宋体"/>
          <w:sz w:val="24"/>
        </w:rPr>
      </w:pPr>
    </w:p>
    <w:p w14:paraId="66E3A34C" w14:textId="77777777" w:rsidR="00B404AE" w:rsidRDefault="00B404AE" w:rsidP="00B404AE">
      <w:pPr>
        <w:ind w:firstLineChars="100" w:firstLine="240"/>
        <w:jc w:val="left"/>
        <w:rPr>
          <w:rFonts w:ascii="Times New Roman" w:hAnsi="Times New Roman" w:cs="Times New Roman" w:hint="eastAsia"/>
          <w:sz w:val="28"/>
        </w:rPr>
      </w:pPr>
      <w:r>
        <w:rPr>
          <w:rFonts w:ascii="宋体" w:hAnsi="宋体" w:cs="宋体" w:hint="eastAsia"/>
          <w:sz w:val="24"/>
        </w:rPr>
        <w:t>备注：运价指数以2007年1月为基期，基期指数值1000。</w:t>
      </w:r>
    </w:p>
    <w:p w14:paraId="3C3550CA" w14:textId="7686060C" w:rsidR="003733BA" w:rsidRDefault="00B404AE" w:rsidP="003733BA">
      <w:pPr>
        <w:jc w:val="center"/>
        <w:rPr>
          <w:sz w:val="36"/>
          <w:szCs w:val="36"/>
        </w:rPr>
      </w:pPr>
      <w:r w:rsidRPr="00B404AE">
        <w:rPr>
          <w:rFonts w:hint="eastAsia"/>
          <w:noProof/>
          <w:sz w:val="36"/>
          <w:szCs w:val="36"/>
        </w:rPr>
        <w:drawing>
          <wp:inline distT="0" distB="0" distL="0" distR="0" wp14:anchorId="4C0FE972" wp14:editId="757DCF48">
            <wp:extent cx="4284345" cy="2809875"/>
            <wp:effectExtent l="0" t="0" r="1905" b="9525"/>
            <wp:docPr id="140357715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44160" w14:textId="26FB3454" w:rsidR="00B404AE" w:rsidRPr="00B404AE" w:rsidRDefault="00B404AE" w:rsidP="003733BA">
      <w:pPr>
        <w:jc w:val="center"/>
        <w:rPr>
          <w:rFonts w:hint="eastAsia"/>
          <w:sz w:val="36"/>
          <w:szCs w:val="36"/>
        </w:rPr>
      </w:pPr>
      <w:r w:rsidRPr="00B404AE">
        <w:rPr>
          <w:rFonts w:hint="eastAsia"/>
          <w:noProof/>
          <w:sz w:val="36"/>
          <w:szCs w:val="36"/>
        </w:rPr>
        <w:lastRenderedPageBreak/>
        <w:drawing>
          <wp:inline distT="0" distB="0" distL="0" distR="0" wp14:anchorId="21FDB26D" wp14:editId="643D83EE">
            <wp:extent cx="4284345" cy="2772410"/>
            <wp:effectExtent l="0" t="0" r="1905" b="8890"/>
            <wp:docPr id="4211628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95A94" w14:textId="39622AAE" w:rsidR="003733BA" w:rsidRDefault="00B404AE">
      <w:r>
        <w:rPr>
          <w:rFonts w:hint="eastAsia"/>
        </w:rPr>
        <w:t xml:space="preserve"> </w:t>
      </w:r>
      <w:r>
        <w:t xml:space="preserve"> </w:t>
      </w:r>
    </w:p>
    <w:p w14:paraId="1375FCD1" w14:textId="33550330" w:rsidR="00B404AE" w:rsidRDefault="00B404AE" w:rsidP="00B404AE">
      <w:pPr>
        <w:ind w:firstLineChars="400" w:firstLine="840"/>
      </w:pPr>
      <w:r w:rsidRPr="00B404AE">
        <w:rPr>
          <w:rFonts w:hint="eastAsia"/>
          <w:noProof/>
        </w:rPr>
        <w:drawing>
          <wp:inline distT="0" distB="0" distL="0" distR="0" wp14:anchorId="209AF65B" wp14:editId="48E5CF78">
            <wp:extent cx="4410075" cy="2809875"/>
            <wp:effectExtent l="0" t="0" r="9525" b="9525"/>
            <wp:docPr id="15082337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9F67E" w14:textId="39082D87" w:rsidR="00B404AE" w:rsidRPr="003733BA" w:rsidRDefault="00B404AE" w:rsidP="00B404AE">
      <w:pPr>
        <w:ind w:firstLineChars="400" w:firstLine="840"/>
        <w:rPr>
          <w:rFonts w:hint="eastAsia"/>
        </w:rPr>
      </w:pPr>
      <w:r w:rsidRPr="00B404AE">
        <w:rPr>
          <w:rFonts w:hint="eastAsia"/>
          <w:noProof/>
        </w:rPr>
        <w:lastRenderedPageBreak/>
        <w:drawing>
          <wp:inline distT="0" distB="0" distL="0" distR="0" wp14:anchorId="2BD5C455" wp14:editId="78E66045">
            <wp:extent cx="4410075" cy="2824480"/>
            <wp:effectExtent l="0" t="0" r="9525" b="0"/>
            <wp:docPr id="117866452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4AE" w:rsidRPr="00373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1E2A"/>
    <w:rsid w:val="00211E2A"/>
    <w:rsid w:val="003733BA"/>
    <w:rsid w:val="00B404AE"/>
    <w:rsid w:val="00D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8532"/>
  <w15:chartTrackingRefBased/>
  <w15:docId w15:val="{25794C54-3FB5-4BF3-9825-9E1ACA76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7-2023&#24037;&#20316;\2017-2022&#36816;&#20215;&#25351;&#25968;\&#25351;&#25968;&#25253;&#21578;\2023&#24180;&#25351;&#25968;&#25253;&#21578;\2023&#24180;5&#26376;&#36816;&#20215;&#35745;&#31639;--&#19979;&#38477;4.5%25\2023&#24180;5&#26376;&#24178;&#25955;&#36135;&#36235;&#21183;&#22270;&#25913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38271;&#27743;&#33322;&#36816;&#25351;&#25968;\&#38271;&#27743;&#38598;&#35013;&#31665;&#36816;&#20215;&#25351;&#25968;\2023&#24180;5&#26376;&#20221;&#38598;&#35013;&#31665;&#36816;&#20215;&#25351;&#25968;\2023.5&#38598;&#35013;&#31665;&#36235;&#21183;&#2227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1" i="0" u="none" strike="noStrike" kern="1200" spc="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b="1"/>
              <a:t>长江干散货综合运价指数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5258009589391401E-2"/>
          <c:y val="0.25778759641490001"/>
          <c:w val="0.87539967646416506"/>
          <c:h val="0.41358593123645898"/>
        </c:manualLayout>
      </c:layout>
      <c:lineChart>
        <c:grouping val="standard"/>
        <c:varyColors val="0"/>
        <c:ser>
          <c:idx val="0"/>
          <c:order val="0"/>
          <c:tx>
            <c:strRef>
              <c:f>'[2023年5月干散货趋势图改.xlsx]干散货趋势图（新）'!$F$4</c:f>
              <c:strCache>
                <c:ptCount val="1"/>
                <c:pt idx="0">
                  <c:v>干散货综合运价指数</c:v>
                </c:pt>
              </c:strCache>
            </c:strRef>
          </c:tx>
          <c:spPr>
            <a:ln w="28575" cap="rnd" cmpd="sng" algn="ctr">
              <a:solidFill>
                <a:srgbClr val="4F81BD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4F81BD"/>
              </a:solidFill>
              <a:ln w="9525" cap="flat" cmpd="sng" algn="ctr">
                <a:solidFill>
                  <a:srgbClr val="4F81BD"/>
                </a:solidFill>
                <a:prstDash val="solid"/>
                <a:round/>
              </a:ln>
              <a:effectLst/>
            </c:spPr>
          </c:marker>
          <c:dPt>
            <c:idx val="6"/>
            <c:marker>
              <c:spPr>
                <a:solidFill>
                  <a:srgbClr val="FFFF00"/>
                </a:solidFill>
                <a:ln w="9525" cap="flat" cmpd="sng" algn="ctr">
                  <a:solidFill>
                    <a:srgbClr val="4F81BD"/>
                  </a:solidFill>
                  <a:prstDash val="solid"/>
                  <a:round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C3ED-4A55-9DB6-E6A6C92BF249}"/>
              </c:ext>
            </c:extLst>
          </c:dPt>
          <c:dPt>
            <c:idx val="12"/>
            <c:marker>
              <c:spPr>
                <a:solidFill>
                  <a:srgbClr val="FF0000"/>
                </a:solidFill>
                <a:ln w="9525" cap="flat" cmpd="sng" algn="ctr">
                  <a:solidFill>
                    <a:srgbClr val="4F81BD"/>
                  </a:solidFill>
                  <a:prstDash val="solid"/>
                  <a:round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C3ED-4A55-9DB6-E6A6C92BF249}"/>
              </c:ext>
            </c:extLst>
          </c:dPt>
          <c:dLbls>
            <c:dLbl>
              <c:idx val="0"/>
              <c:layout>
                <c:manualLayout>
                  <c:x val="-4.1925465838509299E-2"/>
                  <c:y val="-9.8893336472804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3ED-4A55-9DB6-E6A6C92BF24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ED-4A55-9DB6-E6A6C92BF24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3ED-4A55-9DB6-E6A6C92BF24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3ED-4A55-9DB6-E6A6C92BF249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3ED-4A55-9DB6-E6A6C92BF249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3ED-4A55-9DB6-E6A6C92BF249}"/>
                </c:ext>
              </c:extLst>
            </c:dLbl>
            <c:dLbl>
              <c:idx val="6"/>
              <c:layout>
                <c:manualLayout>
                  <c:x val="-3.7197768133911999E-2"/>
                  <c:y val="-6.79655641141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ED-4A55-9DB6-E6A6C92BF249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3ED-4A55-9DB6-E6A6C92BF249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3ED-4A55-9DB6-E6A6C92BF249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3ED-4A55-9DB6-E6A6C92BF249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3ED-4A55-9DB6-E6A6C92BF249}"/>
                </c:ext>
              </c:extLst>
            </c:dLbl>
            <c:dLbl>
              <c:idx val="11"/>
              <c:layout>
                <c:manualLayout>
                  <c:x val="-4.3466729717444502E-2"/>
                  <c:y val="-8.5388226396266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3ED-4A55-9DB6-E6A6C92BF249}"/>
                </c:ext>
              </c:extLst>
            </c:dLbl>
            <c:dLbl>
              <c:idx val="12"/>
              <c:layout>
                <c:manualLayout>
                  <c:x val="-7.74373387926954E-3"/>
                  <c:y val="-9.8893339176678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ED-4A55-9DB6-E6A6C92BF2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'[2023年5月干散货趋势图改.xlsx]干散货趋势图（新）'!$G$3:$CE$3</c:f>
              <c:strCache>
                <c:ptCount val="13"/>
                <c:pt idx="0">
                  <c:v>2022年5月</c:v>
                </c:pt>
                <c:pt idx="1">
                  <c:v>6月</c:v>
                </c:pt>
                <c:pt idx="2">
                  <c:v>7月</c:v>
                </c:pt>
                <c:pt idx="3">
                  <c:v>8月</c:v>
                </c:pt>
                <c:pt idx="4">
                  <c:v>9月</c:v>
                </c:pt>
                <c:pt idx="5">
                  <c:v>10月</c:v>
                </c:pt>
                <c:pt idx="6">
                  <c:v>11月</c:v>
                </c:pt>
                <c:pt idx="7">
                  <c:v>12月</c:v>
                </c:pt>
                <c:pt idx="8">
                  <c:v>2023年1月</c:v>
                </c:pt>
                <c:pt idx="9">
                  <c:v>2月</c:v>
                </c:pt>
                <c:pt idx="10">
                  <c:v>3月</c:v>
                </c:pt>
                <c:pt idx="11">
                  <c:v>4月</c:v>
                </c:pt>
                <c:pt idx="12">
                  <c:v>5月</c:v>
                </c:pt>
              </c:strCache>
            </c:strRef>
          </c:cat>
          <c:val>
            <c:numRef>
              <c:f>'[2023年5月干散货趋势图改.xlsx]干散货趋势图（新）'!$G$4:$CE$4</c:f>
              <c:numCache>
                <c:formatCode>General</c:formatCode>
                <c:ptCount val="13"/>
                <c:pt idx="0" formatCode="0.0_ ">
                  <c:v>718.8</c:v>
                </c:pt>
                <c:pt idx="1">
                  <c:v>695.9</c:v>
                </c:pt>
                <c:pt idx="2">
                  <c:v>709.2</c:v>
                </c:pt>
                <c:pt idx="3">
                  <c:v>680.2</c:v>
                </c:pt>
                <c:pt idx="4">
                  <c:v>696.8</c:v>
                </c:pt>
                <c:pt idx="5">
                  <c:v>708.5</c:v>
                </c:pt>
                <c:pt idx="6">
                  <c:v>724.8</c:v>
                </c:pt>
                <c:pt idx="7">
                  <c:v>701.1</c:v>
                </c:pt>
                <c:pt idx="8">
                  <c:v>710.6</c:v>
                </c:pt>
                <c:pt idx="9">
                  <c:v>699.2</c:v>
                </c:pt>
                <c:pt idx="10">
                  <c:v>691.6</c:v>
                </c:pt>
                <c:pt idx="11">
                  <c:v>688.5</c:v>
                </c:pt>
                <c:pt idx="12">
                  <c:v>657.5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D-C3ED-4A55-9DB6-E6A6C92BF2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219"/>
          <c:upBars>
            <c:spPr>
              <a:solidFill>
                <a:srgbClr val="FFFFFF"/>
              </a:solidFill>
              <a:ln w="9525" cap="flat" cmpd="sng" algn="ctr">
                <a:solidFill>
                  <a:srgbClr val="D9D9D9">
                    <a:lumMod val="15000"/>
                    <a:lumOff val="85000"/>
                  </a:srgbClr>
                </a:solidFill>
                <a:prstDash val="solid"/>
                <a:round/>
              </a:ln>
              <a:effectLst/>
            </c:spPr>
          </c:upBars>
          <c:downBars>
            <c:spPr>
              <a:solidFill>
                <a:srgbClr val="595959">
                  <a:lumMod val="65000"/>
                  <a:lumOff val="35000"/>
                </a:srgbClr>
              </a:solidFill>
              <a:ln w="9525" cap="flat" cmpd="sng" algn="ctr">
                <a:solidFill>
                  <a:srgbClr val="595959">
                    <a:lumMod val="65000"/>
                    <a:lumOff val="35000"/>
                  </a:srgbClr>
                </a:solidFill>
                <a:prstDash val="solid"/>
                <a:round/>
              </a:ln>
              <a:effectLst/>
            </c:spPr>
          </c:downBars>
        </c:upDownBars>
        <c:marker val="1"/>
        <c:smooth val="0"/>
        <c:axId val="288076928"/>
        <c:axId val="288078464"/>
      </c:lineChart>
      <c:catAx>
        <c:axId val="288076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D9D9D9">
                <a:lumMod val="15000"/>
                <a:lumOff val="85000"/>
              </a:srgbClr>
            </a:solidFill>
            <a:prstDash val="solid"/>
            <a:round/>
          </a:ln>
          <a:effectLst/>
        </c:spPr>
        <c:txPr>
          <a:bodyPr rot="54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88078464"/>
        <c:crosses val="autoZero"/>
        <c:auto val="1"/>
        <c:lblAlgn val="ctr"/>
        <c:lblOffset val="100"/>
        <c:tickLblSkip val="1"/>
        <c:noMultiLvlLbl val="0"/>
      </c:catAx>
      <c:valAx>
        <c:axId val="288078464"/>
        <c:scaling>
          <c:orientation val="minMax"/>
          <c:max val="750"/>
          <c:min val="650"/>
        </c:scaling>
        <c:delete val="0"/>
        <c:axPos val="l"/>
        <c:majorGridlines>
          <c:spPr>
            <a:ln w="9525" cap="flat" cmpd="sng" algn="ctr">
              <a:solidFill>
                <a:srgbClr val="D9D9D9">
                  <a:lumMod val="15000"/>
                  <a:lumOff val="85000"/>
                </a:srgbClr>
              </a:solidFill>
              <a:prstDash val="solid"/>
              <a:round/>
            </a:ln>
            <a:effectLst/>
          </c:spPr>
        </c:majorGridlines>
        <c:numFmt formatCode="0_);[Red]\(0\)" sourceLinked="0"/>
        <c:majorTickMark val="out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8807692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D9D9D9">
          <a:lumMod val="15000"/>
          <a:lumOff val="85000"/>
        </a:srgbClr>
      </a:solidFill>
      <a:prstDash val="solid"/>
      <a:round/>
    </a:ln>
    <a:effectLst/>
  </c:spPr>
  <c:txPr>
    <a:bodyPr/>
    <a:lstStyle/>
    <a:p>
      <a:pPr>
        <a:defRPr lang="zh-CN" b="1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1" i="0" u="none" strike="noStrike" kern="1200" spc="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b="1"/>
              <a:t>长江集装箱综合运价指数</a:t>
            </a:r>
          </a:p>
          <a:p>
            <a:pPr>
              <a:defRPr b="1"/>
            </a:pPr>
            <a:endParaRPr lang="zh-CN" altLang="en-US" b="1"/>
          </a:p>
        </c:rich>
      </c:tx>
      <c:layout>
        <c:manualLayout>
          <c:xMode val="edge"/>
          <c:yMode val="edge"/>
          <c:x val="0.31128494233320803"/>
          <c:y val="2.7066424986572898E-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1" i="0" u="none" strike="noStrike" kern="1200" spc="0" baseline="0">
              <a:solidFill>
                <a:srgbClr val="595959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0.12944783537569601"/>
          <c:y val="0.155079825966774"/>
          <c:w val="0.84880834160873897"/>
          <c:h val="0.60549386323787302"/>
        </c:manualLayout>
      </c:layout>
      <c:lineChart>
        <c:grouping val="standard"/>
        <c:varyColors val="0"/>
        <c:ser>
          <c:idx val="0"/>
          <c:order val="0"/>
          <c:tx>
            <c:strRef>
              <c:f>[2023.5集装箱趋势图.xlsx]集装箱拉式链式!$C$4</c:f>
              <c:strCache>
                <c:ptCount val="1"/>
                <c:pt idx="0">
                  <c:v>集装箱综合运价指数</c:v>
                </c:pt>
              </c:strCache>
            </c:strRef>
          </c:tx>
          <c:spPr>
            <a:ln w="28575" cap="rnd">
              <a:solidFill>
                <a:srgbClr val="4F81BD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rgbClr val="4F81BD"/>
              </a:solidFill>
              <a:ln w="9525">
                <a:solidFill>
                  <a:srgbClr val="4F81BD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3551241601820601E-2"/>
                  <c:y val="-5.94838640954101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31-4BB4-8686-4052AE0E650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31-4BB4-8686-4052AE0E650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331-4BB4-8686-4052AE0E650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31-4BB4-8686-4052AE0E650A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331-4BB4-8686-4052AE0E650A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331-4BB4-8686-4052AE0E650A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331-4BB4-8686-4052AE0E650A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331-4BB4-8686-4052AE0E650A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331-4BB4-8686-4052AE0E650A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331-4BB4-8686-4052AE0E650A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331-4BB4-8686-4052AE0E650A}"/>
                </c:ext>
              </c:extLst>
            </c:dLbl>
            <c:dLbl>
              <c:idx val="11"/>
              <c:layout>
                <c:manualLayout>
                  <c:x val="-5.3342214227017098E-2"/>
                  <c:y val="-5.1655430378136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331-4BB4-8686-4052AE0E650A}"/>
                </c:ext>
              </c:extLst>
            </c:dLbl>
            <c:dLbl>
              <c:idx val="12"/>
              <c:layout>
                <c:manualLayout>
                  <c:x val="-1.5584357027941199E-3"/>
                  <c:y val="-4.88967295120475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331-4BB4-8686-4052AE0E65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[2023.5集装箱趋势图.xlsx]集装箱拉式链式!$BP$3:$CB$3</c:f>
              <c:strCache>
                <c:ptCount val="13"/>
                <c:pt idx="0">
                  <c:v>2022年5月</c:v>
                </c:pt>
                <c:pt idx="1">
                  <c:v>6月</c:v>
                </c:pt>
                <c:pt idx="2">
                  <c:v>7月</c:v>
                </c:pt>
                <c:pt idx="3">
                  <c:v>8月</c:v>
                </c:pt>
                <c:pt idx="4">
                  <c:v>9月</c:v>
                </c:pt>
                <c:pt idx="5">
                  <c:v>10月</c:v>
                </c:pt>
                <c:pt idx="6">
                  <c:v>11月</c:v>
                </c:pt>
                <c:pt idx="7">
                  <c:v>12月</c:v>
                </c:pt>
                <c:pt idx="8">
                  <c:v>2023年1月</c:v>
                </c:pt>
                <c:pt idx="9">
                  <c:v>2月</c:v>
                </c:pt>
                <c:pt idx="10">
                  <c:v>3月</c:v>
                </c:pt>
                <c:pt idx="11">
                  <c:v>4月</c:v>
                </c:pt>
                <c:pt idx="12">
                  <c:v>5月</c:v>
                </c:pt>
              </c:strCache>
            </c:strRef>
          </c:cat>
          <c:val>
            <c:numRef>
              <c:f>[2023.5集装箱趋势图.xlsx]集装箱拉式链式!$BP$4:$CB$4</c:f>
              <c:numCache>
                <c:formatCode>General</c:formatCode>
                <c:ptCount val="13"/>
                <c:pt idx="0">
                  <c:v>1014.6</c:v>
                </c:pt>
                <c:pt idx="1">
                  <c:v>1019.9</c:v>
                </c:pt>
                <c:pt idx="2">
                  <c:v>1020.1</c:v>
                </c:pt>
                <c:pt idx="3">
                  <c:v>1014.2</c:v>
                </c:pt>
                <c:pt idx="4">
                  <c:v>1008.5</c:v>
                </c:pt>
                <c:pt idx="5" formatCode="0.0_ ">
                  <c:v>1014</c:v>
                </c:pt>
                <c:pt idx="6">
                  <c:v>1020.5</c:v>
                </c:pt>
                <c:pt idx="7">
                  <c:v>1022.9</c:v>
                </c:pt>
                <c:pt idx="8" formatCode="0.0_ ">
                  <c:v>1019.7</c:v>
                </c:pt>
                <c:pt idx="9">
                  <c:v>1024.0999999999999</c:v>
                </c:pt>
                <c:pt idx="10">
                  <c:v>1017.2</c:v>
                </c:pt>
                <c:pt idx="11">
                  <c:v>1020.3</c:v>
                </c:pt>
                <c:pt idx="12">
                  <c:v>1014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A331-4BB4-8686-4052AE0E65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1673728"/>
        <c:axId val="91675264"/>
      </c:lineChart>
      <c:catAx>
        <c:axId val="9167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rgbClr val="D9D9D9">
                <a:lumMod val="15000"/>
                <a:lumOff val="85000"/>
              </a:srgbClr>
            </a:solidFill>
            <a:round/>
          </a:ln>
          <a:effectLst/>
        </c:spPr>
        <c:txPr>
          <a:bodyPr rot="-5400000" spcFirstLastPara="0" vertOverflow="ellipsis" wrap="square" anchor="ctr" anchorCtr="1"/>
          <a:lstStyle/>
          <a:p>
            <a:pPr>
              <a:defRPr lang="zh-CN" sz="1000" b="1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1675264"/>
        <c:crosses val="autoZero"/>
        <c:auto val="1"/>
        <c:lblAlgn val="ctr"/>
        <c:lblOffset val="100"/>
        <c:tickLblSkip val="1"/>
        <c:noMultiLvlLbl val="0"/>
      </c:catAx>
      <c:valAx>
        <c:axId val="91675264"/>
        <c:scaling>
          <c:orientation val="minMax"/>
          <c:max val="1070"/>
          <c:min val="980"/>
        </c:scaling>
        <c:delete val="0"/>
        <c:axPos val="l"/>
        <c:majorGridlines>
          <c:spPr>
            <a:ln w="9525" cap="flat" cmpd="sng" algn="ctr">
              <a:solidFill>
                <a:srgbClr val="D9D9D9">
                  <a:lumMod val="15000"/>
                  <a:lumOff val="85000"/>
                </a:srgbClr>
              </a:solidFill>
              <a:round/>
            </a:ln>
            <a:effectLst/>
          </c:spPr>
        </c:majorGridlines>
        <c:numFmt formatCode="0_);[Red]\(0\)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1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167372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FFAEF"/>
    </a:solidFill>
    <a:ln w="9525" cap="flat" cmpd="sng" algn="ctr">
      <a:solidFill>
        <a:srgbClr val="D9D9D9">
          <a:lumMod val="15000"/>
          <a:lumOff val="85000"/>
          <a:alpha val="82000"/>
        </a:srgb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acrossLinear" id="2">
  <a:srgbClr val="4F81BD"/>
  <a:srgbClr val="C0504D"/>
  <a:srgbClr val="9BBB59"/>
  <a:srgbClr val="8064A2"/>
  <a:srgbClr val="4BACC6"/>
  <a:srgbClr val="F79646"/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AE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10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AE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  <cs:spPr>
      <a:solidFill>
        <a:srgbClr val="FFFFFF"/>
      </a:solidFill>
    </cs:spPr>
  </cs:dataPoint>
  <cs:dataPoint3D>
    <cs:lnRef idx="0"/>
    <cs:fillRef idx="1">
      <cs:styleClr val="auto"/>
    </cs:fillRef>
    <cs:effectRef idx="0"/>
    <cs:fontRef idx="minor">
      <a:srgbClr val="000000"/>
    </cs:fontRef>
    <cs:spPr>
      <a:solidFill>
        <a:srgbClr val="FFFFFF"/>
      </a:solidFill>
    </cs:spPr>
  </cs:dataPoint3D>
  <cs:dataPointLine>
    <cs:lnRef idx="0">
      <cs:styleClr val="auto"/>
    </cs:lnRef>
    <cs:fillRef idx="1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solidFill>
        <a:srgbClr val="FFFFFF"/>
      </a:solidFill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595959">
          <a:lumMod val="65000"/>
          <a:lumOff val="35000"/>
        </a:srgbClr>
      </a:solidFill>
      <a:ln w="9525">
        <a:solidFill>
          <a:srgbClr val="595959">
            <a:lumMod val="65000"/>
            <a:lumOff val="35000"/>
          </a:srgbClr>
        </a:solidFill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404040">
            <a:lumMod val="75000"/>
            <a:lumOff val="25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AEF"/>
      </a:solidFill>
      <a:ln w="9525">
        <a:solidFill>
          <a:srgbClr val="D9D9D9">
            <a:lumMod val="15000"/>
            <a:lumOff val="85000"/>
          </a:srgbClr>
        </a:solidFill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孙</dc:creator>
  <cp:keywords/>
  <dc:description/>
  <cp:lastModifiedBy>磊 孙</cp:lastModifiedBy>
  <cp:revision>3</cp:revision>
  <dcterms:created xsi:type="dcterms:W3CDTF">2023-07-19T08:55:00Z</dcterms:created>
  <dcterms:modified xsi:type="dcterms:W3CDTF">2023-07-19T09:05:00Z</dcterms:modified>
</cp:coreProperties>
</file>