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C314E">
      <w:pPr>
        <w:spacing w:line="600" w:lineRule="exact"/>
        <w:jc w:val="left"/>
        <w:outlineLvl w:val="0"/>
        <w:rPr>
          <w:rFonts w:ascii="方正小标宋简体" w:hAnsi="宋体" w:eastAsia="方正小标宋简体"/>
          <w:color w:val="auto"/>
          <w:sz w:val="21"/>
          <w:szCs w:val="21"/>
          <w:highlight w:val="none"/>
        </w:rPr>
      </w:pPr>
      <w:bookmarkStart w:id="0" w:name="_Toc15306267"/>
    </w:p>
    <w:p w14:paraId="520D0DC9"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auto"/>
          <w:sz w:val="72"/>
          <w:szCs w:val="72"/>
          <w:highlight w:val="none"/>
        </w:rPr>
      </w:pPr>
    </w:p>
    <w:p w14:paraId="1CEAABEE"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auto"/>
          <w:sz w:val="72"/>
          <w:szCs w:val="72"/>
          <w:highlight w:val="none"/>
        </w:rPr>
      </w:pPr>
    </w:p>
    <w:p w14:paraId="2EE96BE6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</w:pPr>
      <w:bookmarkStart w:id="1" w:name="_Toc15396597"/>
      <w:bookmarkStart w:id="2" w:name="_Toc15377425"/>
      <w:bookmarkStart w:id="3" w:name="_Toc15378441"/>
      <w:bookmarkStart w:id="4" w:name="_Toc15377193"/>
      <w:bookmarkStart w:id="5" w:name="_Toc15396475"/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年度</w:t>
      </w:r>
      <w:bookmarkEnd w:id="1"/>
      <w:bookmarkEnd w:id="2"/>
      <w:bookmarkEnd w:id="3"/>
      <w:bookmarkEnd w:id="4"/>
      <w:bookmarkEnd w:id="5"/>
      <w:bookmarkStart w:id="6" w:name="_Toc15396476"/>
      <w:bookmarkStart w:id="7" w:name="_Toc15378442"/>
      <w:bookmarkStart w:id="8" w:name="_Toc15377194"/>
      <w:bookmarkStart w:id="9" w:name="_Toc15396598"/>
      <w:bookmarkStart w:id="10" w:name="_Toc15377426"/>
    </w:p>
    <w:p w14:paraId="038E0C57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四川省</w:t>
      </w:r>
      <w:bookmarkEnd w:id="0"/>
      <w:bookmarkStart w:id="11" w:name="_Toc15306268"/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val="en-US" w:eastAsia="zh-CN"/>
        </w:rPr>
        <w:t>公路职工疗养院</w:t>
      </w:r>
    </w:p>
    <w:p w14:paraId="103F263A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决算</w:t>
      </w:r>
      <w:bookmarkEnd w:id="6"/>
      <w:bookmarkEnd w:id="7"/>
      <w:bookmarkEnd w:id="8"/>
      <w:bookmarkEnd w:id="9"/>
      <w:bookmarkEnd w:id="10"/>
      <w:bookmarkEnd w:id="11"/>
    </w:p>
    <w:p w14:paraId="392318DB">
      <w:pPr>
        <w:widowControl/>
        <w:jc w:val="center"/>
        <w:rPr>
          <w:rFonts w:ascii="黑体" w:hAnsi="黑体" w:eastAsia="黑体"/>
          <w:color w:val="auto"/>
          <w:sz w:val="48"/>
          <w:szCs w:val="48"/>
          <w:highlight w:val="none"/>
        </w:rPr>
      </w:pPr>
      <w:r>
        <w:rPr>
          <w:rFonts w:ascii="方正小标宋简体" w:hAnsi="宋体" w:eastAsia="方正小标宋简体"/>
          <w:color w:val="auto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/>
          <w:color w:val="auto"/>
          <w:sz w:val="48"/>
          <w:szCs w:val="48"/>
          <w:highlight w:val="none"/>
        </w:rPr>
        <w:t>目录</w:t>
      </w:r>
    </w:p>
    <w:p w14:paraId="44C49540">
      <w:pPr>
        <w:widowControl/>
        <w:jc w:val="center"/>
        <w:rPr>
          <w:rFonts w:ascii="黑体" w:hAnsi="黑体" w:eastAsia="黑体" w:cstheme="minorBidi"/>
          <w:color w:val="auto"/>
          <w:sz w:val="28"/>
          <w:szCs w:val="28"/>
          <w:highlight w:val="none"/>
        </w:rPr>
      </w:pPr>
    </w:p>
    <w:p w14:paraId="68C56ED5">
      <w:pPr>
        <w:pStyle w:val="1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公开时间：20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</w:rPr>
        <w:t>日</w:t>
      </w:r>
    </w:p>
    <w:p w14:paraId="3628DE3A">
      <w:pPr>
        <w:rPr>
          <w:color w:val="auto"/>
          <w:highlight w:val="none"/>
        </w:rPr>
      </w:pPr>
    </w:p>
    <w:p w14:paraId="0961CC6E">
      <w:pPr>
        <w:pStyle w:val="10"/>
        <w:adjustRightInd w:val="0"/>
        <w:snapToGrid w:val="0"/>
        <w:spacing w:before="0" w:line="440" w:lineRule="exact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sz w:val="24"/>
          <w:highlight w:val="none"/>
        </w:rPr>
        <w:t>第一部分</w:t>
      </w:r>
      <w:r>
        <w:rPr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  <w:lang w:eastAsia="zh-CN"/>
        </w:rPr>
        <w:t>单位</w:t>
      </w:r>
      <w:r>
        <w:rPr>
          <w:rFonts w:hint="eastAsia"/>
          <w:color w:val="auto"/>
          <w:sz w:val="24"/>
          <w:highlight w:val="none"/>
        </w:rPr>
        <w:t>概况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.................................................................................................4</w:t>
      </w:r>
    </w:p>
    <w:p w14:paraId="468DDA63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一、</w:t>
      </w:r>
      <w:r>
        <w:rPr>
          <w:rFonts w:hint="eastAsia"/>
          <w:color w:val="auto"/>
          <w:sz w:val="24"/>
          <w:highlight w:val="none"/>
          <w:lang w:val="en-US" w:eastAsia="zh-CN"/>
        </w:rPr>
        <w:t>基本职能及主要工作................................................................................4</w:t>
      </w:r>
    </w:p>
    <w:p w14:paraId="73DC891D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二</w:t>
      </w:r>
      <w:r>
        <w:rPr>
          <w:rFonts w:hint="eastAsia"/>
          <w:color w:val="auto"/>
          <w:sz w:val="24"/>
          <w:highlight w:val="none"/>
        </w:rPr>
        <w:t>、</w:t>
      </w:r>
      <w:r>
        <w:rPr>
          <w:rFonts w:hint="eastAsia"/>
          <w:color w:val="auto"/>
          <w:sz w:val="24"/>
          <w:highlight w:val="none"/>
          <w:lang w:eastAsia="zh-CN"/>
        </w:rPr>
        <w:t>机构设置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....................................................................................................4</w:t>
      </w:r>
    </w:p>
    <w:p w14:paraId="50AF34C2">
      <w:pPr>
        <w:pStyle w:val="10"/>
        <w:adjustRightInd w:val="0"/>
        <w:snapToGrid w:val="0"/>
        <w:spacing w:before="0" w:line="440" w:lineRule="exact"/>
        <w:jc w:val="left"/>
        <w:rPr>
          <w:rFonts w:hint="default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第二部分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2022年度</w:t>
      </w:r>
      <w:r>
        <w:rPr>
          <w:rFonts w:hint="eastAsia"/>
          <w:color w:val="auto"/>
          <w:sz w:val="24"/>
          <w:highlight w:val="none"/>
          <w:lang w:eastAsia="zh-CN"/>
        </w:rPr>
        <w:t>单位</w:t>
      </w:r>
      <w:r>
        <w:rPr>
          <w:rFonts w:hint="eastAsia"/>
          <w:color w:val="auto"/>
          <w:sz w:val="24"/>
          <w:highlight w:val="none"/>
        </w:rPr>
        <w:t>决算情况说明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................................................................5</w:t>
      </w:r>
    </w:p>
    <w:p w14:paraId="5846BD7F">
      <w:pPr>
        <w:pStyle w:val="11"/>
        <w:adjustRightInd w:val="0"/>
        <w:snapToGrid w:val="0"/>
        <w:spacing w:line="440" w:lineRule="exact"/>
        <w:jc w:val="left"/>
        <w:rPr>
          <w:rFonts w:hint="default" w:ascii="仿宋" w:hAnsi="仿宋" w:eastAsia="宋体" w:cstheme="minorBidi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一、收入支出决算总体情况说明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....................................................................5</w:t>
      </w:r>
    </w:p>
    <w:p w14:paraId="45600B7B">
      <w:pPr>
        <w:pStyle w:val="11"/>
        <w:adjustRightInd w:val="0"/>
        <w:snapToGrid w:val="0"/>
        <w:spacing w:line="440" w:lineRule="exact"/>
        <w:jc w:val="left"/>
        <w:rPr>
          <w:rFonts w:hint="default" w:ascii="仿宋" w:hAnsi="仿宋" w:eastAsia="宋体" w:cstheme="minorBidi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二、收入决算情况说明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....................................................................................5</w:t>
      </w:r>
    </w:p>
    <w:p w14:paraId="060EBB48">
      <w:pPr>
        <w:pStyle w:val="11"/>
        <w:adjustRightInd w:val="0"/>
        <w:snapToGrid w:val="0"/>
        <w:spacing w:line="440" w:lineRule="exact"/>
        <w:jc w:val="left"/>
        <w:rPr>
          <w:rFonts w:hint="default" w:ascii="仿宋" w:hAnsi="仿宋" w:eastAsia="宋体" w:cstheme="minorBidi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三、支出决算情况说明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....................................................................................5</w:t>
      </w:r>
    </w:p>
    <w:p w14:paraId="62AB1FF1">
      <w:pPr>
        <w:pStyle w:val="11"/>
        <w:adjustRightInd w:val="0"/>
        <w:snapToGrid w:val="0"/>
        <w:spacing w:line="440" w:lineRule="exact"/>
        <w:jc w:val="left"/>
        <w:rPr>
          <w:rFonts w:hint="default" w:ascii="仿宋" w:hAnsi="仿宋" w:eastAsia="宋体" w:cstheme="minorBidi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四、财政拨款收入支出决算总体情况说明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....................................................6</w:t>
      </w:r>
    </w:p>
    <w:p w14:paraId="629CD309">
      <w:pPr>
        <w:pStyle w:val="11"/>
        <w:adjustRightInd w:val="0"/>
        <w:snapToGrid w:val="0"/>
        <w:spacing w:line="440" w:lineRule="exact"/>
        <w:jc w:val="left"/>
        <w:rPr>
          <w:rFonts w:hint="default" w:ascii="仿宋" w:hAnsi="仿宋" w:eastAsia="宋体" w:cstheme="minorBidi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五、一般公共预算财政拨款支出决算情况说明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............................................7</w:t>
      </w:r>
    </w:p>
    <w:p w14:paraId="1F422313">
      <w:pPr>
        <w:pStyle w:val="11"/>
        <w:adjustRightInd w:val="0"/>
        <w:snapToGrid w:val="0"/>
        <w:spacing w:line="440" w:lineRule="exact"/>
        <w:jc w:val="left"/>
        <w:rPr>
          <w:rFonts w:hint="default" w:ascii="仿宋" w:hAnsi="仿宋" w:eastAsia="宋体" w:cstheme="minorBidi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六、一般公共预算财政拨款基本支出决算情况说明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...................................10</w:t>
      </w:r>
    </w:p>
    <w:p w14:paraId="2AAF0B06">
      <w:pPr>
        <w:pStyle w:val="11"/>
        <w:adjustRightInd w:val="0"/>
        <w:snapToGrid w:val="0"/>
        <w:spacing w:line="440" w:lineRule="exact"/>
        <w:jc w:val="left"/>
        <w:rPr>
          <w:rFonts w:hint="default" w:ascii="仿宋" w:hAnsi="仿宋" w:eastAsia="宋体" w:cstheme="minorBidi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七、财政拨款</w:t>
      </w:r>
      <w:r>
        <w:rPr>
          <w:rFonts w:hint="eastAsia"/>
          <w:color w:val="auto"/>
          <w:sz w:val="24"/>
          <w:highlight w:val="none"/>
          <w:lang w:eastAsia="zh-CN"/>
        </w:rPr>
        <w:t>“</w:t>
      </w:r>
      <w:r>
        <w:rPr>
          <w:rFonts w:hint="eastAsia"/>
          <w:color w:val="auto"/>
          <w:sz w:val="24"/>
          <w:highlight w:val="none"/>
        </w:rPr>
        <w:t>三公”经费支出决算情况说明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...........................................10</w:t>
      </w:r>
    </w:p>
    <w:p w14:paraId="1C6F9F0A">
      <w:pPr>
        <w:pStyle w:val="11"/>
        <w:adjustRightInd w:val="0"/>
        <w:snapToGrid w:val="0"/>
        <w:spacing w:line="440" w:lineRule="exact"/>
        <w:jc w:val="left"/>
        <w:rPr>
          <w:rFonts w:hint="default" w:ascii="仿宋" w:hAnsi="仿宋" w:eastAsia="宋体" w:cstheme="minorBidi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八、政府性基金预算支出决算情况说明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.......................................................12</w:t>
      </w:r>
    </w:p>
    <w:p w14:paraId="5B542702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九、国有资本经营预算支出决算情况说明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...................................................12</w:t>
      </w:r>
    </w:p>
    <w:p w14:paraId="74A6F080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十、其他重要事项的情况说明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.......................................................................12</w:t>
      </w:r>
    </w:p>
    <w:p w14:paraId="1F9B6CAC">
      <w:pPr>
        <w:pStyle w:val="10"/>
        <w:adjustRightInd w:val="0"/>
        <w:snapToGrid w:val="0"/>
        <w:spacing w:before="0" w:line="440" w:lineRule="exact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sz w:val="24"/>
          <w:highlight w:val="none"/>
        </w:rPr>
        <w:t>第三部分</w:t>
      </w:r>
      <w:r>
        <w:rPr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名词解释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................................................................................................13</w:t>
      </w:r>
    </w:p>
    <w:p w14:paraId="500C292F">
      <w:pPr>
        <w:pStyle w:val="10"/>
        <w:adjustRightInd w:val="0"/>
        <w:snapToGrid w:val="0"/>
        <w:spacing w:before="0" w:line="440" w:lineRule="exact"/>
        <w:jc w:val="left"/>
        <w:rPr>
          <w:rFonts w:hint="default" w:cstheme="minorBidi"/>
          <w:color w:val="auto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第四部分</w:t>
      </w:r>
      <w:r>
        <w:rPr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附件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........................................................................................................15</w:t>
      </w:r>
    </w:p>
    <w:p w14:paraId="0E0986A2">
      <w:pPr>
        <w:pStyle w:val="10"/>
        <w:adjustRightInd w:val="0"/>
        <w:snapToGrid w:val="0"/>
        <w:spacing w:before="0" w:line="440" w:lineRule="exact"/>
        <w:jc w:val="left"/>
        <w:rPr>
          <w:rFonts w:hint="default" w:cstheme="minorBidi"/>
          <w:color w:val="auto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第五部分</w:t>
      </w:r>
      <w:r>
        <w:rPr>
          <w:color w:val="auto"/>
          <w:sz w:val="24"/>
          <w:highlight w:val="none"/>
        </w:rPr>
        <w:t xml:space="preserve"> </w:t>
      </w:r>
      <w:r>
        <w:rPr>
          <w:rFonts w:hint="eastAsia"/>
          <w:color w:val="auto"/>
          <w:sz w:val="24"/>
          <w:highlight w:val="none"/>
        </w:rPr>
        <w:t>附表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........................................................................................................15</w:t>
      </w:r>
    </w:p>
    <w:p w14:paraId="6E1FAF76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一、收入支出决算总表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...................................................................................15</w:t>
      </w:r>
    </w:p>
    <w:p w14:paraId="22B1132B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二、收入决算表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...............................................................................................16</w:t>
      </w:r>
    </w:p>
    <w:p w14:paraId="641FD88D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三、支出决算表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...............................................................................................17</w:t>
      </w:r>
    </w:p>
    <w:p w14:paraId="3E628507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四、财政拨款收入支出决算总表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...................................................................18</w:t>
      </w:r>
    </w:p>
    <w:p w14:paraId="7F623608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五、财政拨款支出决算明细表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.......................................................................19</w:t>
      </w:r>
    </w:p>
    <w:p w14:paraId="628E73D1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六、一般公共预算财政拨款支出决算表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.......................................................20</w:t>
      </w:r>
    </w:p>
    <w:p w14:paraId="090F791C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七、一般公共预算财政拨款支出决算明细表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...............................................21</w:t>
      </w:r>
    </w:p>
    <w:p w14:paraId="479FE4A7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八、一般公共预算财政拨款基本支出决算</w:t>
      </w:r>
      <w:r>
        <w:rPr>
          <w:rFonts w:hint="eastAsia"/>
          <w:color w:val="auto"/>
          <w:sz w:val="24"/>
          <w:highlight w:val="none"/>
          <w:lang w:eastAsia="zh-CN"/>
        </w:rPr>
        <w:t>明细</w:t>
      </w:r>
      <w:r>
        <w:rPr>
          <w:rFonts w:hint="eastAsia"/>
          <w:color w:val="auto"/>
          <w:sz w:val="24"/>
          <w:highlight w:val="none"/>
        </w:rPr>
        <w:t>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.......................................22</w:t>
      </w:r>
    </w:p>
    <w:p w14:paraId="034DAD63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九、一般公共预算财政拨款项目支出决算表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...............................................23</w:t>
      </w:r>
    </w:p>
    <w:p w14:paraId="0DF3BD44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十、政府性基金预算财政拨款收入支出决算表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.......................................24</w:t>
      </w:r>
    </w:p>
    <w:p w14:paraId="6F16F222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十一、国有资本经营预算财政拨款收入支出决算表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...............................25</w:t>
      </w:r>
    </w:p>
    <w:p w14:paraId="5F835236">
      <w:pPr>
        <w:pStyle w:val="11"/>
        <w:adjustRightInd w:val="0"/>
        <w:snapToGrid w:val="0"/>
        <w:spacing w:line="440" w:lineRule="exact"/>
        <w:jc w:val="left"/>
        <w:rPr>
          <w:rFonts w:hint="default"/>
          <w:color w:val="auto"/>
          <w:sz w:val="24"/>
          <w:highlight w:val="none"/>
          <w:lang w:val="en-US"/>
        </w:rPr>
      </w:pPr>
      <w:r>
        <w:rPr>
          <w:rFonts w:hint="eastAsia"/>
          <w:color w:val="auto"/>
          <w:sz w:val="24"/>
          <w:highlight w:val="none"/>
        </w:rPr>
        <w:t>十二、</w:t>
      </w:r>
      <w:r>
        <w:rPr>
          <w:rFonts w:hint="eastAsia"/>
          <w:color w:val="auto"/>
          <w:sz w:val="24"/>
          <w:highlight w:val="none"/>
          <w:lang w:val="en-US" w:eastAsia="zh-CN"/>
        </w:rPr>
        <w:t>国有资本经营预算财政拨款支出决算表.......................................26</w:t>
      </w:r>
    </w:p>
    <w:p w14:paraId="1A9B7C0E">
      <w:pPr>
        <w:pStyle w:val="11"/>
        <w:adjustRightInd w:val="0"/>
        <w:snapToGrid w:val="0"/>
        <w:spacing w:line="440" w:lineRule="exact"/>
        <w:jc w:val="left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十三、财政拨款“三公”经费支出决算表</w:t>
      </w:r>
      <w:r>
        <w:rPr>
          <w:rFonts w:hint="eastAsia"/>
          <w:color w:val="auto"/>
          <w:sz w:val="24"/>
          <w:highlight w:val="none"/>
          <w:lang w:val="en-US" w:eastAsia="zh-CN"/>
        </w:rPr>
        <w:t>...............................................27</w:t>
      </w:r>
    </w:p>
    <w:p w14:paraId="406ED46F">
      <w:pPr>
        <w:widowControl/>
        <w:spacing w:line="440" w:lineRule="exact"/>
        <w:jc w:val="left"/>
        <w:rPr>
          <w:rFonts w:ascii="仿宋" w:hAnsi="仿宋" w:eastAsia="仿宋"/>
          <w:bCs/>
          <w:color w:val="auto"/>
          <w:kern w:val="44"/>
          <w:sz w:val="24"/>
          <w:highlight w:val="none"/>
        </w:rPr>
      </w:pPr>
      <w:bookmarkStart w:id="12" w:name="_Toc15396599"/>
      <w:bookmarkStart w:id="13" w:name="_Toc15377196"/>
      <w:r>
        <w:rPr>
          <w:rFonts w:ascii="仿宋" w:hAnsi="仿宋" w:eastAsia="仿宋"/>
          <w:b/>
          <w:color w:val="auto"/>
          <w:sz w:val="24"/>
          <w:highlight w:val="none"/>
        </w:rPr>
        <w:br w:type="page"/>
      </w:r>
    </w:p>
    <w:p w14:paraId="3260A313">
      <w:pPr>
        <w:pStyle w:val="2"/>
        <w:numPr>
          <w:ilvl w:val="0"/>
          <w:numId w:val="1"/>
        </w:numPr>
        <w:jc w:val="center"/>
        <w:rPr>
          <w:rStyle w:val="24"/>
          <w:rFonts w:hint="eastAsia" w:ascii="黑体" w:hAnsi="黑体" w:eastAsia="黑体"/>
          <w:b w:val="0"/>
          <w:bCs w:val="0"/>
          <w:color w:val="auto"/>
          <w:highlight w:val="none"/>
        </w:rPr>
      </w:pPr>
      <w:r>
        <w:rPr>
          <w:rStyle w:val="24"/>
          <w:rFonts w:hint="eastAsia" w:ascii="黑体" w:hAnsi="黑体" w:eastAsia="黑体"/>
          <w:b w:val="0"/>
          <w:bCs w:val="0"/>
          <w:color w:val="auto"/>
          <w:highlight w:val="none"/>
          <w:lang w:val="en-US" w:eastAsia="zh-CN"/>
        </w:rPr>
        <w:t>单位</w:t>
      </w:r>
      <w:r>
        <w:rPr>
          <w:rStyle w:val="24"/>
          <w:rFonts w:hint="eastAsia" w:ascii="黑体" w:hAnsi="黑体" w:eastAsia="黑体"/>
          <w:b w:val="0"/>
          <w:bCs w:val="0"/>
          <w:color w:val="auto"/>
          <w:highlight w:val="none"/>
        </w:rPr>
        <w:t>概况</w:t>
      </w:r>
      <w:bookmarkEnd w:id="12"/>
      <w:bookmarkEnd w:id="13"/>
    </w:p>
    <w:p w14:paraId="3CB64C76">
      <w:pPr>
        <w:numPr>
          <w:ilvl w:val="0"/>
          <w:numId w:val="0"/>
        </w:numPr>
      </w:pPr>
    </w:p>
    <w:p w14:paraId="6CFA6FA7">
      <w:pPr>
        <w:pStyle w:val="23"/>
        <w:numPr>
          <w:ilvl w:val="0"/>
          <w:numId w:val="2"/>
        </w:numPr>
        <w:spacing w:line="600" w:lineRule="exact"/>
        <w:ind w:firstLine="640" w:firstLineChars="200"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14" w:name="_Toc15396600"/>
      <w:bookmarkStart w:id="15" w:name="_Toc15377197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基本职能及主要工作</w:t>
      </w:r>
    </w:p>
    <w:p w14:paraId="1C43568D">
      <w:pPr>
        <w:pStyle w:val="23"/>
        <w:numPr>
          <w:ilvl w:val="0"/>
          <w:numId w:val="3"/>
        </w:numPr>
        <w:spacing w:line="60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四川省公路职工疗养院职能简介。</w:t>
      </w:r>
    </w:p>
    <w:p w14:paraId="21D39667">
      <w:pPr>
        <w:pStyle w:val="23"/>
        <w:numPr>
          <w:ilvl w:val="0"/>
          <w:numId w:val="0"/>
        </w:numPr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核定职能：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以为人民身体健康提供康复与保健服务；接待省内外公路系统职工疗养；安置无家可归的公路职工安度晚年；对外提供旅游等服务。</w:t>
      </w:r>
    </w:p>
    <w:p w14:paraId="61CAE704">
      <w:pPr>
        <w:pStyle w:val="23"/>
        <w:numPr>
          <w:ilvl w:val="0"/>
          <w:numId w:val="4"/>
        </w:numPr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四川省公路职工疗养院2022年度重点工作。</w:t>
      </w:r>
    </w:p>
    <w:p w14:paraId="156341C3">
      <w:pPr>
        <w:numPr>
          <w:ilvl w:val="0"/>
          <w:numId w:val="0"/>
        </w:numPr>
        <w:suppressAutoHyphens w:val="0"/>
        <w:adjustRightInd w:val="0"/>
        <w:spacing w:before="93" w:beforeLines="30"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稳定职工队伍，提高职工业务素质，加强职工职业道德教育；</w:t>
      </w:r>
    </w:p>
    <w:p w14:paraId="2E2049B0">
      <w:pPr>
        <w:numPr>
          <w:ilvl w:val="0"/>
          <w:numId w:val="0"/>
        </w:numPr>
        <w:suppressAutoHyphens w:val="0"/>
        <w:adjustRightInd w:val="0"/>
        <w:spacing w:before="93" w:beforeLines="30"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加强财务基础工作，严格执行财务预算管理，确保财务核算合法、合规；</w:t>
      </w:r>
    </w:p>
    <w:p w14:paraId="74379FBB">
      <w:pPr>
        <w:numPr>
          <w:ilvl w:val="0"/>
          <w:numId w:val="0"/>
        </w:numPr>
        <w:suppressAutoHyphens w:val="0"/>
        <w:adjustRightInd w:val="0"/>
        <w:spacing w:before="93" w:beforeLines="30"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加强国有资产管理，确保国有资产保值、增值，不流失；加强资产安全管理和网络信息安全管理，强化安全监管，完善风险管控和隐患排查治理预防机制，确保无重大资产安全事故和网络信息泄密事件发生；</w:t>
      </w:r>
    </w:p>
    <w:p w14:paraId="53F754D6">
      <w:pPr>
        <w:numPr>
          <w:ilvl w:val="0"/>
          <w:numId w:val="0"/>
        </w:numPr>
        <w:suppressAutoHyphens w:val="0"/>
        <w:adjustRightInd w:val="0"/>
        <w:spacing w:before="93" w:beforeLines="30"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加强党建工作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坚持把党的政治建设摆在首位，加强党员学习教育，深化“四好一强领导班子”“五好党支部”创建和党员积分制管理，提升支部建设规范化水平；</w:t>
      </w:r>
    </w:p>
    <w:p w14:paraId="099E08D4">
      <w:pPr>
        <w:numPr>
          <w:ilvl w:val="0"/>
          <w:numId w:val="0"/>
        </w:numPr>
        <w:suppressAutoHyphens w:val="0"/>
        <w:adjustRightInd w:val="0"/>
        <w:spacing w:before="93" w:beforeLines="30" w:line="58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全面落实党风廉政建设责任制，加强廉政风险防控体系建设；对以前审计、巡查出的问题积极认真整改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07D7713B">
      <w:pPr>
        <w:pStyle w:val="23"/>
        <w:numPr>
          <w:ilvl w:val="0"/>
          <w:numId w:val="0"/>
        </w:numPr>
        <w:spacing w:line="600" w:lineRule="exact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2C5B7C2">
      <w:pPr>
        <w:pStyle w:val="23"/>
        <w:numPr>
          <w:ilvl w:val="0"/>
          <w:numId w:val="0"/>
        </w:numPr>
        <w:spacing w:line="600" w:lineRule="exact"/>
        <w:ind w:left="640" w:leftChars="0"/>
        <w:outlineLvl w:val="1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二、机构设置</w:t>
      </w:r>
    </w:p>
    <w:p w14:paraId="0187DB9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疗养院由5个内设科室组成，分别是：党群办、办公室、财务科、后勤科、安保科。</w:t>
      </w:r>
    </w:p>
    <w:bookmarkEnd w:id="14"/>
    <w:bookmarkEnd w:id="15"/>
    <w:p w14:paraId="3C6C3109">
      <w:pPr>
        <w:widowControl/>
        <w:jc w:val="left"/>
        <w:rPr>
          <w:rStyle w:val="24"/>
          <w:rFonts w:hint="eastAsia" w:ascii="黑体" w:hAnsi="黑体" w:eastAsia="黑体" w:cstheme="minorBidi"/>
          <w:b w:val="0"/>
          <w:bCs/>
          <w:color w:val="auto"/>
          <w:highlight w:val="none"/>
          <w:lang w:eastAsia="zh-CN"/>
        </w:rPr>
      </w:pPr>
      <w:bookmarkStart w:id="16" w:name="_Toc15377204"/>
      <w:bookmarkStart w:id="17" w:name="_Toc15396602"/>
    </w:p>
    <w:p w14:paraId="1FFE6EBA">
      <w:pPr>
        <w:pStyle w:val="5"/>
        <w:rPr>
          <w:rFonts w:hint="eastAsia"/>
          <w:lang w:eastAsia="zh-CN"/>
        </w:rPr>
      </w:pPr>
    </w:p>
    <w:p w14:paraId="7A875277">
      <w:pPr>
        <w:widowControl/>
        <w:numPr>
          <w:ilvl w:val="0"/>
          <w:numId w:val="5"/>
        </w:numPr>
        <w:ind w:firstLine="440" w:firstLineChars="100"/>
        <w:jc w:val="left"/>
        <w:rPr>
          <w:rStyle w:val="24"/>
          <w:rFonts w:hint="eastAsia" w:ascii="黑体" w:hAnsi="黑体" w:eastAsia="黑体" w:cstheme="minorBidi"/>
          <w:b w:val="0"/>
          <w:bCs/>
          <w:color w:val="auto"/>
          <w:highlight w:val="none"/>
          <w:lang w:eastAsia="zh-CN"/>
        </w:rPr>
      </w:pPr>
      <w:r>
        <w:rPr>
          <w:rStyle w:val="24"/>
          <w:rFonts w:hint="eastAsia" w:ascii="黑体" w:hAnsi="黑体" w:eastAsia="黑体" w:cstheme="minorBidi"/>
          <w:b w:val="0"/>
          <w:bCs/>
          <w:color w:val="auto"/>
          <w:highlight w:val="none"/>
          <w:lang w:val="en-US" w:eastAsia="zh-CN"/>
        </w:rPr>
        <w:t>2022年度</w:t>
      </w:r>
      <w:r>
        <w:rPr>
          <w:rStyle w:val="24"/>
          <w:rFonts w:hint="eastAsia" w:ascii="黑体" w:hAnsi="黑体" w:eastAsia="黑体" w:cstheme="minorBidi"/>
          <w:b w:val="0"/>
          <w:bCs/>
          <w:color w:val="auto"/>
          <w:highlight w:val="none"/>
          <w:lang w:eastAsia="zh-CN"/>
        </w:rPr>
        <w:t>单位决算情况说明</w:t>
      </w:r>
      <w:bookmarkEnd w:id="16"/>
      <w:bookmarkEnd w:id="17"/>
    </w:p>
    <w:p w14:paraId="57C72C1C">
      <w:pPr>
        <w:pStyle w:val="5"/>
        <w:numPr>
          <w:ilvl w:val="0"/>
          <w:numId w:val="0"/>
        </w:numPr>
      </w:pPr>
    </w:p>
    <w:p w14:paraId="3FC87865">
      <w:pPr>
        <w:pStyle w:val="23"/>
        <w:numPr>
          <w:ilvl w:val="0"/>
          <w:numId w:val="0"/>
        </w:numPr>
        <w:spacing w:line="600" w:lineRule="exact"/>
        <w:ind w:left="640" w:leftChars="0"/>
        <w:outlineLvl w:val="1"/>
        <w:rPr>
          <w:rStyle w:val="25"/>
          <w:rFonts w:ascii="黑体" w:hAnsi="黑体" w:eastAsia="黑体"/>
          <w:b w:val="0"/>
          <w:color w:val="auto"/>
          <w:highlight w:val="none"/>
        </w:rPr>
      </w:pPr>
      <w:bookmarkStart w:id="18" w:name="_Toc15396603"/>
      <w:bookmarkStart w:id="19" w:name="_Toc15377205"/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收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入支出决算总体情况说明</w:t>
      </w:r>
      <w:bookmarkEnd w:id="18"/>
      <w:bookmarkEnd w:id="19"/>
    </w:p>
    <w:p w14:paraId="49B0F7E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年度收、支总计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254.84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255.19万元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相比，收、支总计各减少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与2021年度基本持平。</w:t>
      </w:r>
    </w:p>
    <w:p w14:paraId="18E76FAF">
      <w:pPr>
        <w:pStyle w:val="5"/>
        <w:rPr>
          <w:rFonts w:hint="default"/>
          <w:lang w:val="en-US" w:eastAsia="zh-CN"/>
        </w:rPr>
      </w:pPr>
      <w:r>
        <w:rPr>
          <w:color w:val="4F81BD" w:themeColor="accent1"/>
          <w14:textFill>
            <w14:solidFill>
              <w14:schemeClr w14:val="accent1"/>
            </w14:solidFill>
          </w14:textFill>
        </w:rPr>
        <w:drawing>
          <wp:inline distT="0" distB="0" distL="0" distR="0">
            <wp:extent cx="5160010" cy="2598420"/>
            <wp:effectExtent l="4445" t="4445" r="17145" b="698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686CE86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（图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：收、支决算总计变动情况图）</w:t>
      </w:r>
    </w:p>
    <w:p w14:paraId="44552576">
      <w:pPr>
        <w:pStyle w:val="23"/>
        <w:numPr>
          <w:ilvl w:val="0"/>
          <w:numId w:val="0"/>
        </w:numPr>
        <w:spacing w:line="600" w:lineRule="exact"/>
        <w:ind w:left="640" w:leftChars="0"/>
        <w:outlineLvl w:val="1"/>
        <w:rPr>
          <w:rStyle w:val="25"/>
          <w:rFonts w:ascii="黑体" w:hAnsi="黑体" w:eastAsia="黑体"/>
          <w:b w:val="0"/>
          <w:color w:val="auto"/>
          <w:highlight w:val="none"/>
        </w:rPr>
      </w:pPr>
      <w:bookmarkStart w:id="20" w:name="_Toc15377206"/>
      <w:bookmarkStart w:id="21" w:name="_Toc15396604"/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收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入决算情况说明</w:t>
      </w:r>
      <w:bookmarkEnd w:id="20"/>
      <w:bookmarkEnd w:id="21"/>
    </w:p>
    <w:p w14:paraId="2C20BE19">
      <w:pPr>
        <w:spacing w:line="600" w:lineRule="exact"/>
        <w:ind w:firstLine="640" w:firstLineChars="200"/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年本年收入合计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663.84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万元，其中：一般公共预算财政拨款收入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663.84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。</w:t>
      </w:r>
    </w:p>
    <w:p w14:paraId="69940788">
      <w:pPr>
        <w:pStyle w:val="5"/>
      </w:pPr>
    </w:p>
    <w:p w14:paraId="7BA5F7BB">
      <w:pPr>
        <w:pStyle w:val="5"/>
      </w:pPr>
      <w:r>
        <w:rPr>
          <w:color w:val="C00000"/>
          <w:shd w:val="pct10" w:color="auto" w:fill="FFFFFF"/>
        </w:rPr>
        <w:drawing>
          <wp:inline distT="0" distB="0" distL="0" distR="0">
            <wp:extent cx="5198110" cy="2346960"/>
            <wp:effectExtent l="4445" t="4445" r="17145" b="1079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DAAFEB">
      <w:pPr>
        <w:pStyle w:val="5"/>
      </w:pPr>
    </w:p>
    <w:p w14:paraId="1E805284">
      <w:pPr>
        <w:spacing w:line="600" w:lineRule="exact"/>
        <w:ind w:firstLine="960" w:firstLineChars="3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（图2：收入决算结构图）</w:t>
      </w:r>
    </w:p>
    <w:p w14:paraId="542355B5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6059C562">
      <w:pPr>
        <w:pStyle w:val="23"/>
        <w:numPr>
          <w:numId w:val="0"/>
        </w:numPr>
        <w:spacing w:line="600" w:lineRule="exact"/>
        <w:ind w:left="640" w:leftChars="0"/>
        <w:outlineLvl w:val="1"/>
        <w:rPr>
          <w:rStyle w:val="25"/>
          <w:rFonts w:ascii="黑体" w:hAnsi="黑体" w:eastAsia="黑体"/>
          <w:b w:val="0"/>
          <w:color w:val="auto"/>
          <w:highlight w:val="none"/>
        </w:rPr>
      </w:pPr>
      <w:bookmarkStart w:id="22" w:name="_Toc15377207"/>
      <w:bookmarkStart w:id="23" w:name="_Toc15396605"/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支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出决算情况说明</w:t>
      </w:r>
      <w:bookmarkEnd w:id="22"/>
      <w:bookmarkEnd w:id="23"/>
    </w:p>
    <w:p w14:paraId="4E65D605">
      <w:pPr>
        <w:spacing w:line="600" w:lineRule="exact"/>
        <w:ind w:firstLine="640" w:firstLineChars="200"/>
        <w:outlineLvl w:val="1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年本年支出合计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663.84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万元，其中：基本支出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663.84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；项目支出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。</w:t>
      </w:r>
    </w:p>
    <w:p w14:paraId="4FE6AC79">
      <w:pPr>
        <w:pStyle w:val="5"/>
        <w:rPr>
          <w:rFonts w:ascii="仿宋" w:hAnsi="仿宋" w:eastAsia="仿宋"/>
          <w:color w:val="auto"/>
          <w:sz w:val="32"/>
          <w:szCs w:val="32"/>
          <w:highlight w:val="none"/>
          <w:shd w:val="pct10" w:color="auto" w:fill="FFFFFF"/>
        </w:rPr>
      </w:pPr>
      <w:r>
        <w:rPr>
          <w:color w:val="C00000"/>
          <w:shd w:val="pct10" w:color="auto" w:fill="FFFFFF"/>
        </w:rPr>
        <w:drawing>
          <wp:inline distT="0" distB="0" distL="0" distR="0">
            <wp:extent cx="5198110" cy="2346960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637598">
      <w:pPr>
        <w:spacing w:line="600" w:lineRule="exact"/>
        <w:ind w:firstLine="1920" w:firstLineChars="6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（图3：支出决算结构图）</w:t>
      </w:r>
    </w:p>
    <w:p w14:paraId="49A37C60">
      <w:pPr>
        <w:spacing w:line="600" w:lineRule="exact"/>
        <w:ind w:firstLine="640" w:firstLineChars="200"/>
        <w:outlineLvl w:val="1"/>
        <w:rPr>
          <w:rStyle w:val="25"/>
          <w:rFonts w:ascii="黑体" w:hAnsi="黑体" w:eastAsia="黑体"/>
          <w:b w:val="0"/>
          <w:color w:val="auto"/>
          <w:highlight w:val="none"/>
        </w:rPr>
      </w:pPr>
      <w:bookmarkStart w:id="24" w:name="_Toc15396606"/>
      <w:bookmarkStart w:id="25" w:name="_Toc1537720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四、财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政拨款收入支出决算总体情况说明</w:t>
      </w:r>
      <w:bookmarkEnd w:id="24"/>
      <w:bookmarkEnd w:id="25"/>
    </w:p>
    <w:p w14:paraId="65B9A460">
      <w:pPr>
        <w:spacing w:line="600" w:lineRule="exact"/>
        <w:ind w:firstLine="64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年财政拨款收、支总计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663.84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万元。与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财政拨款收、支总计664.2万元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相比，财政拨款收、支总计各减少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0.05%，与上年度基本持平。</w:t>
      </w:r>
    </w:p>
    <w:p w14:paraId="04583624">
      <w:pPr>
        <w:pStyle w:val="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drawing>
          <wp:inline distT="0" distB="0" distL="0" distR="0">
            <wp:extent cx="5236845" cy="2229485"/>
            <wp:effectExtent l="5080" t="4445" r="15875" b="1397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5E7451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（图4：财政拨款收、支决算总计变动情况）</w:t>
      </w:r>
    </w:p>
    <w:p w14:paraId="30E97E12">
      <w:pPr>
        <w:spacing w:line="600" w:lineRule="exact"/>
        <w:ind w:firstLine="640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</w:p>
    <w:p w14:paraId="141FCC1D">
      <w:pPr>
        <w:spacing w:line="600" w:lineRule="exact"/>
        <w:ind w:firstLine="640" w:firstLineChars="200"/>
        <w:outlineLvl w:val="1"/>
        <w:rPr>
          <w:rStyle w:val="25"/>
          <w:rFonts w:ascii="黑体" w:hAnsi="黑体" w:eastAsia="黑体"/>
          <w:b w:val="0"/>
          <w:color w:val="auto"/>
          <w:highlight w:val="none"/>
        </w:rPr>
      </w:pPr>
      <w:bookmarkStart w:id="26" w:name="_Toc15377209"/>
      <w:bookmarkStart w:id="27" w:name="_Toc15396607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五、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般公共预算财政拨款支出决算情况说明</w:t>
      </w:r>
      <w:bookmarkEnd w:id="26"/>
      <w:bookmarkEnd w:id="27"/>
    </w:p>
    <w:p w14:paraId="27B89B78"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28" w:name="_Toc15377210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（一）一般公共预算财政拨款支出决算总体情况</w:t>
      </w:r>
      <w:bookmarkEnd w:id="28"/>
    </w:p>
    <w:p w14:paraId="7CB5BD9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年一般公共预算财政拨款支出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663.84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万元，占本年支出合计的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年相比，一般公共预算财政拨款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与上年度基本持平。</w:t>
      </w:r>
    </w:p>
    <w:p w14:paraId="7309BB92">
      <w:pPr>
        <w:pStyle w:val="5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drawing>
          <wp:inline distT="0" distB="0" distL="0" distR="0">
            <wp:extent cx="5172075" cy="2609850"/>
            <wp:effectExtent l="0" t="0" r="0" b="0"/>
            <wp:docPr id="2" name="对象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BB04C8">
      <w:pPr>
        <w:spacing w:line="600" w:lineRule="exact"/>
        <w:ind w:firstLine="960" w:firstLineChars="3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（图5：一般公共预算财政拨款支出决算变动情况）</w:t>
      </w:r>
    </w:p>
    <w:p w14:paraId="1C2743AC"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29" w:name="_Toc15377211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（二）一般公共预算财政拨款支出决算结构情况</w:t>
      </w:r>
      <w:bookmarkEnd w:id="29"/>
    </w:p>
    <w:p w14:paraId="5C2B4195">
      <w:pPr>
        <w:spacing w:line="600" w:lineRule="exact"/>
        <w:ind w:firstLine="640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年一般公共预算财政拨款支出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663.84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万元，主要用于以下方面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教育支出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5.86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社会保障和就业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支出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94.79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卫生健康支出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13.97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住房保障支出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35.66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交通运输支出513.56万元，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77.36%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。</w:t>
      </w:r>
    </w:p>
    <w:p w14:paraId="0BBE7208">
      <w:pPr>
        <w:spacing w:line="600" w:lineRule="exact"/>
        <w:ind w:firstLine="640"/>
      </w:pPr>
    </w:p>
    <w:p w14:paraId="6524CAEE">
      <w:pPr>
        <w:spacing w:line="600" w:lineRule="exact"/>
        <w:ind w:firstLine="640"/>
      </w:pPr>
    </w:p>
    <w:p w14:paraId="5C4A38E6">
      <w:pPr>
        <w:pStyle w:val="5"/>
      </w:pPr>
    </w:p>
    <w:p w14:paraId="1B649288">
      <w:pPr>
        <w:pStyle w:val="5"/>
      </w:pPr>
    </w:p>
    <w:p w14:paraId="2BE5117F">
      <w:pPr>
        <w:pStyle w:val="5"/>
      </w:pPr>
    </w:p>
    <w:p w14:paraId="6894CE61">
      <w:pPr>
        <w:pStyle w:val="5"/>
      </w:pPr>
      <w:r>
        <w:drawing>
          <wp:inline distT="0" distB="0" distL="0" distR="0">
            <wp:extent cx="5222240" cy="3307080"/>
            <wp:effectExtent l="4445" t="4445" r="12065" b="2222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88FEBC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（图6：一般公共预算财政拨款支出决算结构）</w:t>
      </w:r>
    </w:p>
    <w:p w14:paraId="6AFD06AE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0DA7B987"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30" w:name="_Toc15377212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（三）一般公共预算财政拨款支出决算具体情况</w:t>
      </w:r>
      <w:bookmarkEnd w:id="30"/>
    </w:p>
    <w:p w14:paraId="369B2500">
      <w:pPr>
        <w:spacing w:line="600" w:lineRule="exact"/>
        <w:ind w:firstLine="643" w:firstLineChars="200"/>
        <w:outlineLvl w:val="2"/>
        <w:rPr>
          <w:rFonts w:ascii="仿宋" w:hAnsi="仿宋" w:eastAsia="仿宋"/>
          <w:color w:val="auto"/>
          <w:sz w:val="32"/>
          <w:szCs w:val="32"/>
          <w:highlight w:val="none"/>
        </w:rPr>
      </w:pPr>
      <w:bookmarkStart w:id="31" w:name="_Toc15378460"/>
      <w:bookmarkStart w:id="32" w:name="_Toc15377213"/>
      <w:bookmarkStart w:id="33" w:name="_Toc15377444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般公共预算支出决算数为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663.84万元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完成预算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94.92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%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。其中：</w:t>
      </w:r>
      <w:bookmarkEnd w:id="31"/>
      <w:bookmarkEnd w:id="32"/>
      <w:bookmarkEnd w:id="33"/>
    </w:p>
    <w:p w14:paraId="05DB0D61">
      <w:pPr>
        <w:spacing w:line="600" w:lineRule="exact"/>
        <w:ind w:firstLine="643" w:firstLineChars="200"/>
        <w:rPr>
          <w:rFonts w:hint="default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.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教育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进修及培训（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培训支出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4"/>
          <w:rFonts w:ascii="仿宋" w:hAnsi="仿宋" w:eastAsia="仿宋"/>
          <w:b w:val="0"/>
          <w:bCs/>
          <w:color w:val="auto"/>
          <w:sz w:val="32"/>
          <w:szCs w:val="32"/>
          <w:highlight w:val="none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5.86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97.67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基本完成预算。</w:t>
      </w:r>
    </w:p>
    <w:p w14:paraId="1C697A48">
      <w:pPr>
        <w:spacing w:line="600" w:lineRule="exact"/>
        <w:ind w:firstLine="643" w:firstLineChars="200"/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.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社会保障和就业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行政事业单位养老支出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机关事业单位基本养老保险缴费支出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4"/>
          <w:rFonts w:ascii="仿宋" w:hAnsi="仿宋" w:eastAsia="仿宋"/>
          <w:b w:val="0"/>
          <w:bCs/>
          <w:color w:val="auto"/>
          <w:sz w:val="32"/>
          <w:szCs w:val="32"/>
          <w:highlight w:val="none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37.24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96.08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%。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主要是本年度有3名职工相继离开单位，其养老保险单位缴费相应减少。</w:t>
      </w:r>
    </w:p>
    <w:p w14:paraId="07C44C4F">
      <w:pPr>
        <w:spacing w:line="600" w:lineRule="exact"/>
        <w:ind w:firstLine="643" w:firstLineChars="200"/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  <w:lang w:val="en-US" w:eastAsia="zh-CN"/>
        </w:rPr>
        <w:t>3.社会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保障和就业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行政事业单位养老支出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机关事业单位职业年金缴费支出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4"/>
          <w:rFonts w:ascii="仿宋" w:hAnsi="仿宋" w:eastAsia="仿宋"/>
          <w:b w:val="0"/>
          <w:bCs/>
          <w:color w:val="auto"/>
          <w:sz w:val="32"/>
          <w:szCs w:val="32"/>
          <w:highlight w:val="none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18.43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96.09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%。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主要是本年度有3名职工相继离开单位，其职业年金单位缴费相应减少。</w:t>
      </w:r>
    </w:p>
    <w:p w14:paraId="25D8BD98">
      <w:pPr>
        <w:spacing w:line="600" w:lineRule="exact"/>
        <w:ind w:firstLine="643" w:firstLineChars="200"/>
        <w:rPr>
          <w:rStyle w:val="14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  <w:lang w:val="en-US" w:eastAsia="zh-CN"/>
        </w:rPr>
        <w:t>4.社会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保障和就业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抚恤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死亡抚恤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4"/>
          <w:rFonts w:ascii="仿宋" w:hAnsi="仿宋" w:eastAsia="仿宋"/>
          <w:b w:val="0"/>
          <w:bCs/>
          <w:color w:val="auto"/>
          <w:sz w:val="32"/>
          <w:szCs w:val="32"/>
          <w:highlight w:val="none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27.85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99.68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较好完成了预算。</w:t>
      </w:r>
    </w:p>
    <w:p w14:paraId="428746EC">
      <w:pPr>
        <w:spacing w:line="600" w:lineRule="exact"/>
        <w:ind w:firstLine="643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  <w:lang w:val="en-US" w:eastAsia="zh-CN"/>
        </w:rPr>
        <w:t>5.社会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保障和就业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其他社会保障和就业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其他社会保障和就业支出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4"/>
          <w:rFonts w:ascii="仿宋" w:hAnsi="仿宋" w:eastAsia="仿宋"/>
          <w:b w:val="0"/>
          <w:bCs/>
          <w:color w:val="auto"/>
          <w:sz w:val="32"/>
          <w:szCs w:val="32"/>
          <w:highlight w:val="none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11.27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99.91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较好完成了预算。</w:t>
      </w:r>
    </w:p>
    <w:p w14:paraId="60E5666B">
      <w:pPr>
        <w:spacing w:line="600" w:lineRule="exact"/>
        <w:ind w:firstLine="643" w:firstLineChars="200"/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6.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卫生健康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行政事业单位医疗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事业单位医疗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13.97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84.67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主要是本年度有主要是本年度有本年度有3名职工相继离开单位，其医疗保险单位缴费相应减少。</w:t>
      </w:r>
    </w:p>
    <w:p w14:paraId="0EEF1C79">
      <w:pPr>
        <w:pStyle w:val="5"/>
        <w:ind w:firstLine="643" w:firstLineChars="200"/>
        <w:rPr>
          <w:rStyle w:val="14"/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Style w:val="14"/>
          <w:rFonts w:ascii="仿宋" w:hAnsi="仿宋" w:eastAsia="仿宋" w:cstheme="minorBidi"/>
          <w:bCs/>
          <w:color w:val="auto"/>
          <w:sz w:val="32"/>
          <w:szCs w:val="32"/>
          <w:highlight w:val="none"/>
        </w:rPr>
        <w:t>.</w:t>
      </w: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  <w:lang w:val="en-US" w:eastAsia="zh-CN"/>
        </w:rPr>
        <w:t>交通运输支出</w:t>
      </w: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</w:rPr>
        <w:t>（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公路水路运输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行政运行支出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支出决算为7.97万元</w:t>
      </w:r>
      <w:r>
        <w:rPr>
          <w:rStyle w:val="14"/>
          <w:rFonts w:hint="eastAsia" w:hAnsi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，主要是追加的基本工资调资预算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，完成预算100%</w:t>
      </w:r>
      <w:r>
        <w:rPr>
          <w:rStyle w:val="14"/>
          <w:rFonts w:hint="eastAsia" w:hAnsi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6966EE3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Style w:val="14"/>
          <w:rFonts w:ascii="仿宋" w:hAnsi="仿宋" w:eastAsia="仿宋" w:cstheme="minorBidi"/>
          <w:bCs/>
          <w:color w:val="auto"/>
          <w:sz w:val="32"/>
          <w:szCs w:val="32"/>
          <w:highlight w:val="none"/>
        </w:rPr>
        <w:t>.</w:t>
      </w: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  <w:lang w:val="en-US" w:eastAsia="zh-CN"/>
        </w:rPr>
        <w:t>交通运输支出</w:t>
      </w: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</w:rPr>
        <w:t>（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公路水路运输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其他公路水路运输支出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505.59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95.19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主要是本年度有3名职工相继离开单位以及新冠疫情的影响，其相关费用也相应的减少。</w:t>
      </w:r>
    </w:p>
    <w:p w14:paraId="2221C26A">
      <w:pPr>
        <w:spacing w:line="600" w:lineRule="exact"/>
        <w:ind w:firstLine="643" w:firstLineChars="200"/>
        <w:rPr>
          <w:rFonts w:hint="default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  <w:lang w:val="en-US" w:eastAsia="zh-CN"/>
        </w:rPr>
        <w:t>9.住房保障支出</w:t>
      </w:r>
      <w:r>
        <w:rPr>
          <w:rStyle w:val="14"/>
          <w:rFonts w:hint="eastAsia" w:ascii="仿宋" w:hAnsi="仿宋" w:eastAsia="仿宋" w:cstheme="minorBidi"/>
          <w:bCs/>
          <w:color w:val="auto"/>
          <w:sz w:val="32"/>
          <w:szCs w:val="32"/>
          <w:highlight w:val="none"/>
        </w:rPr>
        <w:t>（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类）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住房改革支出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（款）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住房公积金</w:t>
      </w:r>
      <w:r>
        <w:rPr>
          <w:rStyle w:val="14"/>
          <w:rFonts w:hint="eastAsia" w:ascii="仿宋" w:hAnsi="仿宋" w:eastAsia="仿宋"/>
          <w:bCs/>
          <w:color w:val="auto"/>
          <w:sz w:val="32"/>
          <w:szCs w:val="32"/>
          <w:highlight w:val="none"/>
        </w:rPr>
        <w:t>（项）</w:t>
      </w:r>
      <w:r>
        <w:rPr>
          <w:rStyle w:val="14"/>
          <w:rFonts w:ascii="仿宋" w:hAnsi="仿宋" w:eastAsia="仿宋"/>
          <w:bCs/>
          <w:color w:val="auto"/>
          <w:sz w:val="32"/>
          <w:szCs w:val="32"/>
          <w:highlight w:val="none"/>
        </w:rPr>
        <w:t>: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支出决算为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35.66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88.16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主要是本年度有本年度有3名职工相继离开单位，其住房公积金单位缴费相应减少。</w:t>
      </w:r>
    </w:p>
    <w:p w14:paraId="406DF89E">
      <w:pPr>
        <w:tabs>
          <w:tab w:val="right" w:pos="8306"/>
        </w:tabs>
        <w:spacing w:line="600" w:lineRule="exact"/>
        <w:ind w:firstLine="640"/>
        <w:outlineLvl w:val="1"/>
        <w:rPr>
          <w:rStyle w:val="25"/>
          <w:color w:val="auto"/>
          <w:highlight w:val="none"/>
        </w:rPr>
      </w:pPr>
      <w:bookmarkStart w:id="34" w:name="_Toc15377214"/>
      <w:bookmarkStart w:id="35" w:name="_Toc15396608"/>
      <w:r>
        <w:rPr>
          <w:rFonts w:hint="eastAsia" w:ascii="黑体" w:eastAsia="黑体"/>
          <w:color w:val="auto"/>
          <w:sz w:val="32"/>
          <w:szCs w:val="32"/>
          <w:highlight w:val="none"/>
        </w:rPr>
        <w:t>六</w:t>
      </w:r>
      <w:r>
        <w:rPr>
          <w:rFonts w:hint="eastAsia" w:ascii="黑体" w:eastAsia="黑体"/>
          <w:b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般公共预算财政拨款基本支出决算情况说明</w:t>
      </w:r>
      <w:bookmarkEnd w:id="34"/>
      <w:bookmarkEnd w:id="35"/>
      <w:r>
        <w:rPr>
          <w:rStyle w:val="25"/>
          <w:rFonts w:ascii="黑体" w:hAnsi="黑体" w:eastAsia="黑体"/>
          <w:b w:val="0"/>
          <w:color w:val="auto"/>
          <w:highlight w:val="none"/>
        </w:rPr>
        <w:tab/>
      </w:r>
    </w:p>
    <w:p w14:paraId="283953E8">
      <w:pPr>
        <w:spacing w:line="60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年一般公共预算财政拨款基本支出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663.84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万元，其中：</w:t>
      </w:r>
    </w:p>
    <w:p w14:paraId="386796F4">
      <w:pPr>
        <w:spacing w:line="600" w:lineRule="exact"/>
        <w:ind w:firstLine="645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577.19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万元，主要包括：基本工资、绩效工资、机关事业单位基本养老保险缴费、职业年金缴费、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职工基本医疗缴费、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其他社会保障缴费、住房公积金、其他工资福利支出、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恤金、生活补助、其他对个人和家庭的补助支出等。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　　公用经费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86.65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万元，主要包括：办公费、水费、电费、邮电费、差旅费、维修（护）费、租赁费、培训费、劳务费、工会经费、福利费、其他商品和服务支出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5B1A74ED">
      <w:pPr>
        <w:spacing w:line="600" w:lineRule="exact"/>
        <w:ind w:firstLine="640"/>
        <w:outlineLvl w:val="1"/>
        <w:rPr>
          <w:rStyle w:val="25"/>
          <w:rFonts w:ascii="黑体" w:hAnsi="黑体" w:eastAsia="黑体"/>
          <w:b w:val="0"/>
          <w:color w:val="auto"/>
          <w:highlight w:val="none"/>
        </w:rPr>
      </w:pPr>
      <w:bookmarkStart w:id="36" w:name="_Toc15377215"/>
      <w:bookmarkStart w:id="37" w:name="_Toc15396609"/>
      <w:r>
        <w:rPr>
          <w:rFonts w:hint="eastAsia" w:ascii="黑体" w:eastAsia="黑体"/>
          <w:color w:val="auto"/>
          <w:sz w:val="32"/>
          <w:szCs w:val="32"/>
          <w:highlight w:val="none"/>
        </w:rPr>
        <w:t>七、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财政拨款</w:t>
      </w:r>
      <w:r>
        <w:rPr>
          <w:rStyle w:val="25"/>
          <w:rFonts w:hint="eastAsia" w:ascii="黑体" w:hAnsi="黑体" w:eastAsia="黑体"/>
          <w:color w:val="auto"/>
          <w:highlight w:val="none"/>
        </w:rPr>
        <w:t>“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三公”经费支出决算情况说明</w:t>
      </w:r>
      <w:bookmarkEnd w:id="36"/>
      <w:bookmarkEnd w:id="37"/>
    </w:p>
    <w:p w14:paraId="44EC0245">
      <w:pPr>
        <w:spacing w:line="600" w:lineRule="exact"/>
        <w:ind w:firstLine="321" w:firstLineChars="10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38" w:name="_Toc15377216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（一）“三公”经费财政拨款支出决算总体情况说明</w:t>
      </w:r>
      <w:bookmarkEnd w:id="38"/>
    </w:p>
    <w:p w14:paraId="340C5732"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年“三公”经费财政拨款支出决算为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万元，完成预算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与上年度持平，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持平。</w:t>
      </w:r>
    </w:p>
    <w:p w14:paraId="2A45874C">
      <w:pPr>
        <w:spacing w:line="600" w:lineRule="exact"/>
        <w:ind w:firstLine="321" w:firstLineChars="100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39" w:name="_Toc15377217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（二）“三公”经费财政拨款支出决算具体情况说明</w:t>
      </w:r>
      <w:bookmarkEnd w:id="39"/>
    </w:p>
    <w:p w14:paraId="6651120C"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年“三公”经费财政拨款支出决算中，因公出国（境）费支出决算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%；公务用车购置及运行维护费支出决算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%；公务接待费支出决算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%。具体情况如下：</w:t>
      </w:r>
    </w:p>
    <w:p w14:paraId="044931D0">
      <w:pPr>
        <w:spacing w:line="600" w:lineRule="exact"/>
        <w:ind w:firstLine="640"/>
        <w:rPr>
          <w:rFonts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b/>
          <w:color w:val="auto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因公出国（境）经费支出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全年安排因公出国（境）团组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次，出国（境）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人。因公出国（境）支出决算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持平。</w:t>
      </w:r>
    </w:p>
    <w:p w14:paraId="61C42FD6">
      <w:pPr>
        <w:spacing w:line="600" w:lineRule="exact"/>
        <w:ind w:firstLine="640"/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/>
          <w:b/>
          <w:color w:val="auto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公务用车购置及运行维护费支出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万元,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公务用车购置及运行维护费支出决算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持平。</w:t>
      </w:r>
    </w:p>
    <w:p w14:paraId="0BF3B6E0">
      <w:pPr>
        <w:spacing w:line="600" w:lineRule="exact"/>
        <w:ind w:firstLine="640" w:firstLineChars="200"/>
        <w:rPr>
          <w:rFonts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其中：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公务用车购置支出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万元。全年按规定更新购置公务用车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辆，其中：轿车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辆、金额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万元，越野车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辆、金额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万元，载客汽车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辆、金额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万元。截至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月底，单位共有公务用车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辆，其中：轿车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辆、越野车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辆、载客汽车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辆。</w:t>
      </w:r>
    </w:p>
    <w:p w14:paraId="1FA3DAEE">
      <w:pPr>
        <w:spacing w:line="600" w:lineRule="exact"/>
        <w:ind w:firstLine="64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公务用车运行维护费支出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</w:t>
      </w:r>
    </w:p>
    <w:p w14:paraId="23360B01"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b/>
          <w:color w:val="auto"/>
          <w:sz w:val="32"/>
          <w:szCs w:val="32"/>
          <w:highlight w:val="none"/>
        </w:rPr>
        <w:t>3.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公务接待费支出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完成预算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公务接待费支出决算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其中：</w:t>
      </w:r>
    </w:p>
    <w:p w14:paraId="440F6D84"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国内公务接待支出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万元。国内公务接待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批次，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人次（不包括陪同人员），共计支出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 w14:paraId="2BA01801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外事接待支出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外事接待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批次，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次（不包括陪同人员）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，共计支出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  <w:bookmarkStart w:id="40" w:name="_Toc15396610"/>
      <w:bookmarkStart w:id="41" w:name="_Toc15377218"/>
    </w:p>
    <w:p w14:paraId="56CB85E5">
      <w:pPr>
        <w:spacing w:line="600" w:lineRule="exact"/>
        <w:ind w:firstLine="640"/>
        <w:outlineLvl w:val="1"/>
        <w:rPr>
          <w:rStyle w:val="25"/>
          <w:rFonts w:ascii="黑体" w:hAnsi="黑体" w:eastAsia="黑体"/>
          <w:color w:val="auto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八、</w:t>
      </w:r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政府性基金预算支出决算情况说明</w:t>
      </w:r>
      <w:bookmarkEnd w:id="40"/>
      <w:bookmarkEnd w:id="41"/>
    </w:p>
    <w:p w14:paraId="4A33CE97"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 w14:paraId="72F4E841">
      <w:pPr>
        <w:numPr>
          <w:ilvl w:val="0"/>
          <w:numId w:val="6"/>
        </w:numPr>
        <w:spacing w:line="600" w:lineRule="exact"/>
        <w:ind w:firstLine="640"/>
        <w:outlineLvl w:val="1"/>
        <w:rPr>
          <w:rStyle w:val="25"/>
          <w:rFonts w:ascii="黑体" w:hAnsi="黑体" w:eastAsia="黑体"/>
          <w:b w:val="0"/>
          <w:color w:val="auto"/>
          <w:highlight w:val="none"/>
        </w:rPr>
      </w:pPr>
      <w:bookmarkStart w:id="42" w:name="_Toc15396611"/>
      <w:bookmarkStart w:id="43" w:name="_Toc15377219"/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国有资本经营预算支出决算情况说明</w:t>
      </w:r>
      <w:bookmarkEnd w:id="42"/>
      <w:bookmarkEnd w:id="43"/>
    </w:p>
    <w:p w14:paraId="646AB55B"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年国有资本经营预算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 w14:paraId="407677FA">
      <w:pPr>
        <w:numPr>
          <w:ilvl w:val="0"/>
          <w:numId w:val="6"/>
        </w:numPr>
        <w:spacing w:line="600" w:lineRule="exact"/>
        <w:ind w:firstLine="640"/>
        <w:outlineLvl w:val="1"/>
        <w:rPr>
          <w:rStyle w:val="25"/>
          <w:rFonts w:hint="eastAsia" w:ascii="黑体" w:hAnsi="黑体" w:eastAsia="黑体"/>
          <w:b w:val="0"/>
          <w:color w:val="auto"/>
          <w:highlight w:val="none"/>
        </w:rPr>
      </w:pPr>
      <w:bookmarkStart w:id="44" w:name="_Toc15396612"/>
      <w:bookmarkStart w:id="45" w:name="_Toc15377221"/>
      <w:r>
        <w:rPr>
          <w:rStyle w:val="25"/>
          <w:rFonts w:hint="eastAsia" w:ascii="黑体" w:hAnsi="黑体" w:eastAsia="黑体"/>
          <w:b w:val="0"/>
          <w:color w:val="auto"/>
          <w:highlight w:val="none"/>
        </w:rPr>
        <w:t>其他重要事项的情况说明</w:t>
      </w:r>
      <w:bookmarkEnd w:id="44"/>
      <w:bookmarkEnd w:id="45"/>
    </w:p>
    <w:p w14:paraId="1B7DE1F6">
      <w:pPr>
        <w:spacing w:line="600" w:lineRule="exact"/>
        <w:ind w:firstLine="643" w:firstLineChars="200"/>
        <w:outlineLvl w:val="2"/>
        <w:rPr>
          <w:rFonts w:ascii="仿宋" w:hAnsi="仿宋" w:eastAsia="仿宋"/>
          <w:color w:val="auto"/>
          <w:sz w:val="32"/>
          <w:szCs w:val="32"/>
          <w:highlight w:val="none"/>
        </w:rPr>
      </w:pPr>
      <w:bookmarkStart w:id="46" w:name="_Toc15377222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（一）机关运行经费支出情况</w:t>
      </w:r>
      <w:bookmarkEnd w:id="46"/>
    </w:p>
    <w:p w14:paraId="26C17320"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本单位未涉及机关运行费预算和相关支出，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本单位未涉及机关运行费预算和相关支出。</w:t>
      </w:r>
    </w:p>
    <w:p w14:paraId="5E9A50D8"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47" w:name="_Toc15377223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（二）政府采购支出情况</w:t>
      </w:r>
      <w:bookmarkEnd w:id="47"/>
    </w:p>
    <w:p w14:paraId="5AC3000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政府采购支出总额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万元，其中：政府采购货物支出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万元、政府采购工程支出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万元、政府采购服务支出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万元，其中：授予小微企业合同金额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 w14:paraId="7EBAF5F1"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auto"/>
          <w:sz w:val="32"/>
          <w:szCs w:val="32"/>
          <w:highlight w:val="none"/>
        </w:rPr>
      </w:pPr>
      <w:bookmarkStart w:id="48" w:name="_Toc15377224"/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（三）国有资产占有使用情况</w:t>
      </w:r>
      <w:bookmarkEnd w:id="48"/>
    </w:p>
    <w:p w14:paraId="15781A4F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辆，其中：主要领导干部用车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辆、机要通信用车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单价50万元以上通用设备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台（套），单价100万元以上专用设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台（套）。</w:t>
      </w:r>
    </w:p>
    <w:p w14:paraId="06FC3AB4"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（四）预算绩效管理情况</w:t>
      </w:r>
    </w:p>
    <w:p w14:paraId="2DB52EEE">
      <w:pPr>
        <w:pStyle w:val="5"/>
        <w:ind w:firstLine="640" w:firstLineChars="200"/>
        <w:rPr>
          <w:rFonts w:hint="eastAsia" w:ascii="仿宋_GB2312" w:hAnsi="仿宋_GB2312" w:eastAsia="仿宋_GB2312" w:cs="仿宋_GB2312"/>
          <w:color w:val="auto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根据预算绩效管理要求，单位在202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年度，组织对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工资性支出、其他人员支出、单位缴费、其他支出、日常公用经费等5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个项目开展绩效自评，绩效自评表详见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附件。</w:t>
      </w:r>
    </w:p>
    <w:p w14:paraId="35B1CEEA">
      <w:pPr>
        <w:widowControl/>
        <w:jc w:val="left"/>
        <w:rPr>
          <w:rFonts w:ascii="仿宋_GB2312" w:eastAsia="仿宋_GB2312"/>
          <w:b/>
          <w:color w:val="auto"/>
          <w:sz w:val="32"/>
          <w:szCs w:val="32"/>
          <w:highlight w:val="none"/>
        </w:rPr>
      </w:pPr>
    </w:p>
    <w:p w14:paraId="291B634D">
      <w:pPr>
        <w:pStyle w:val="5"/>
      </w:pPr>
    </w:p>
    <w:p w14:paraId="79C046EA">
      <w:pPr>
        <w:numPr>
          <w:ilvl w:val="0"/>
          <w:numId w:val="7"/>
        </w:numPr>
        <w:spacing w:line="600" w:lineRule="exact"/>
        <w:ind w:firstLine="660" w:firstLineChars="150"/>
        <w:jc w:val="center"/>
        <w:outlineLvl w:val="0"/>
        <w:rPr>
          <w:rStyle w:val="24"/>
          <w:rFonts w:ascii="黑体" w:hAnsi="黑体" w:eastAsia="黑体"/>
          <w:b w:val="0"/>
          <w:color w:val="auto"/>
          <w:highlight w:val="none"/>
        </w:rPr>
      </w:pPr>
      <w:bookmarkStart w:id="49" w:name="_Toc15396613"/>
      <w:bookmarkStart w:id="50" w:name="_Toc15377225"/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名</w:t>
      </w:r>
      <w:r>
        <w:rPr>
          <w:rStyle w:val="24"/>
          <w:rFonts w:hint="eastAsia" w:ascii="黑体" w:hAnsi="黑体" w:eastAsia="黑体"/>
          <w:b w:val="0"/>
          <w:color w:val="auto"/>
          <w:highlight w:val="none"/>
        </w:rPr>
        <w:t>词解释</w:t>
      </w:r>
      <w:bookmarkEnd w:id="49"/>
      <w:bookmarkEnd w:id="50"/>
    </w:p>
    <w:p w14:paraId="30A85B2A">
      <w:pPr>
        <w:spacing w:line="600" w:lineRule="exact"/>
        <w:jc w:val="left"/>
        <w:rPr>
          <w:rFonts w:ascii="宋体"/>
          <w:b/>
          <w:color w:val="auto"/>
          <w:sz w:val="44"/>
          <w:szCs w:val="44"/>
          <w:highlight w:val="none"/>
        </w:rPr>
      </w:pPr>
    </w:p>
    <w:p w14:paraId="665A5AEB">
      <w:pPr>
        <w:pStyle w:val="2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1.财政拨款收入：指单位从同级财政部门取得的财政预算资金。</w:t>
      </w:r>
    </w:p>
    <w:p w14:paraId="23590A2B">
      <w:pPr>
        <w:pStyle w:val="2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.年初结转和结余：指以前年度尚未完成、结转到本年按有关规定继续使用的资金。 </w:t>
      </w:r>
    </w:p>
    <w:p w14:paraId="3E309060">
      <w:pPr>
        <w:pStyle w:val="2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年末结转和结余：指单位按有关规定结转到下年或以后年度继续使用的资金。</w:t>
      </w:r>
    </w:p>
    <w:p w14:paraId="5BA053D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.教育（类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进修及培训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培训支出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（项）：指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单位用于人员培训方面的支出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F7A3F0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.社会保障和就业（类）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行政事业单位养老支出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机关事业单位基本养老保险缴费支出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（项）：指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单位为职工按养老保险制度由单位缴纳的基本养老保险支出。</w:t>
      </w:r>
    </w:p>
    <w:p w14:paraId="229DEB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.社会保障和就业（类）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行政事业单位养老支出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机关事业单位职业年金缴费支出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（项）：指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单位为职工按养老保险制度由单位缴纳的职业年金支出。</w:t>
      </w:r>
    </w:p>
    <w:p w14:paraId="46B305A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行政事业单位医疗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事业单位医疗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（项）：指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单位为职工按医疗老保险制度由单位缴纳的职公基本医疗支出。</w:t>
      </w:r>
    </w:p>
    <w:p w14:paraId="1E49472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.交通运输（类）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公路水路运输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)其他公路水路运输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（项）：指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单位日常运行发生的人员工资福利和日常公用经费支出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19ECD4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.住房保障（类）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住房改革支出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住房公积金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（项）：指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单位按规定比例为职工缴纳的住房公积金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2B32F24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.基本支出：指为保障机构正常运转、完成日常工作任务而发生的人员支出和公用支出。</w:t>
      </w:r>
    </w:p>
    <w:p w14:paraId="3D34975A">
      <w:pPr>
        <w:pStyle w:val="2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.“三公”经费：指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</w:p>
    <w:p w14:paraId="62AA839E">
      <w:pPr>
        <w:pStyle w:val="2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21EF842C">
      <w:pPr>
        <w:spacing w:line="600" w:lineRule="exact"/>
        <w:ind w:firstLine="2640" w:firstLineChars="600"/>
        <w:jc w:val="both"/>
        <w:outlineLvl w:val="0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  <w:bookmarkStart w:id="51" w:name="_Toc15396614"/>
      <w:bookmarkStart w:id="52" w:name="_Toc15377226"/>
    </w:p>
    <w:p w14:paraId="0E97EBFC">
      <w:pPr>
        <w:spacing w:line="600" w:lineRule="exact"/>
        <w:ind w:firstLine="2640" w:firstLineChars="600"/>
        <w:jc w:val="both"/>
        <w:outlineLvl w:val="0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p w14:paraId="439EE022">
      <w:pPr>
        <w:spacing w:line="600" w:lineRule="exact"/>
        <w:ind w:firstLine="2640" w:firstLineChars="600"/>
        <w:jc w:val="both"/>
        <w:outlineLvl w:val="0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p w14:paraId="5D56E9FD">
      <w:pPr>
        <w:spacing w:line="600" w:lineRule="exact"/>
        <w:ind w:firstLine="2640" w:firstLineChars="600"/>
        <w:jc w:val="both"/>
        <w:outlineLvl w:val="0"/>
        <w:rPr>
          <w:rStyle w:val="24"/>
          <w:rFonts w:ascii="黑体" w:hAnsi="黑体" w:eastAsia="黑体"/>
          <w:b w:val="0"/>
          <w:color w:val="auto"/>
          <w:highlight w:val="none"/>
        </w:rPr>
      </w:pPr>
      <w:bookmarkStart w:id="67" w:name="_GoBack"/>
      <w:bookmarkEnd w:id="67"/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第</w:t>
      </w:r>
      <w:r>
        <w:rPr>
          <w:rStyle w:val="24"/>
          <w:rFonts w:hint="eastAsia" w:ascii="黑体" w:hAnsi="黑体" w:eastAsia="黑体"/>
          <w:b w:val="0"/>
          <w:color w:val="auto"/>
          <w:highlight w:val="none"/>
        </w:rPr>
        <w:t>四部分 附件</w:t>
      </w:r>
      <w:bookmarkEnd w:id="51"/>
    </w:p>
    <w:p w14:paraId="7B8FDFC1">
      <w:pPr>
        <w:pStyle w:val="5"/>
        <w:rPr>
          <w:rFonts w:hint="default" w:ascii="仿宋_GB2312" w:hAnsi="Calibri" w:eastAsia="仿宋_GB2312" w:cs="仿宋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53" w:name="_Toc15396618"/>
      <w:r>
        <w:rPr>
          <w:rFonts w:hint="eastAsia" w:hAnsi="Calibri" w:cs="仿宋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本附件无可公开内容。</w:t>
      </w:r>
    </w:p>
    <w:p w14:paraId="278631D5">
      <w:pPr>
        <w:spacing w:line="600" w:lineRule="exact"/>
        <w:jc w:val="center"/>
        <w:outlineLvl w:val="0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p w14:paraId="07E32000">
      <w:pPr>
        <w:spacing w:line="600" w:lineRule="exact"/>
        <w:jc w:val="both"/>
        <w:outlineLvl w:val="0"/>
        <w:rPr>
          <w:rFonts w:hint="eastAsia" w:ascii="黑体" w:hAnsi="黑体" w:eastAsia="黑体"/>
          <w:color w:val="auto"/>
          <w:sz w:val="44"/>
          <w:szCs w:val="44"/>
          <w:highlight w:val="none"/>
        </w:rPr>
      </w:pPr>
    </w:p>
    <w:p w14:paraId="70AC61E2">
      <w:pPr>
        <w:spacing w:line="600" w:lineRule="exact"/>
        <w:jc w:val="center"/>
        <w:outlineLvl w:val="0"/>
        <w:rPr>
          <w:rFonts w:hint="eastAsia" w:ascii="仿宋" w:hAnsi="仿宋" w:eastAsia="仿宋"/>
          <w:b w:val="0"/>
          <w:color w:val="auto"/>
          <w:highlight w:val="none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第</w:t>
      </w:r>
      <w:r>
        <w:rPr>
          <w:rStyle w:val="24"/>
          <w:rFonts w:hint="eastAsia" w:ascii="黑体" w:hAnsi="黑体" w:eastAsia="黑体"/>
          <w:b w:val="0"/>
          <w:color w:val="auto"/>
          <w:highlight w:val="none"/>
        </w:rPr>
        <w:t>五部分 附表</w:t>
      </w:r>
      <w:bookmarkEnd w:id="52"/>
      <w:bookmarkEnd w:id="53"/>
      <w:bookmarkStart w:id="54" w:name="_Toc15396619"/>
    </w:p>
    <w:p w14:paraId="06A6958D">
      <w:pPr>
        <w:pStyle w:val="3"/>
        <w:ind w:firstLine="640" w:firstLineChars="200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b w:val="0"/>
          <w:color w:val="auto"/>
          <w:highlight w:val="none"/>
        </w:rPr>
        <w:t>一、收</w:t>
      </w:r>
      <w:r>
        <w:rPr>
          <w:rStyle w:val="25"/>
          <w:rFonts w:hint="eastAsia" w:ascii="仿宋" w:hAnsi="仿宋" w:eastAsia="仿宋"/>
          <w:b w:val="0"/>
          <w:bCs w:val="0"/>
          <w:color w:val="auto"/>
          <w:highlight w:val="none"/>
        </w:rPr>
        <w:t>入支出决算总表</w:t>
      </w:r>
      <w:bookmarkEnd w:id="54"/>
    </w:p>
    <w:p w14:paraId="745E6F77">
      <w:pPr>
        <w:pStyle w:val="3"/>
        <w:ind w:firstLine="640" w:firstLineChars="200"/>
        <w:rPr>
          <w:rFonts w:ascii="仿宋" w:hAnsi="仿宋" w:eastAsia="仿宋"/>
          <w:color w:val="auto"/>
          <w:highlight w:val="none"/>
        </w:rPr>
      </w:pPr>
      <w:bookmarkStart w:id="55" w:name="_Toc15396620"/>
      <w:r>
        <w:rPr>
          <w:rFonts w:hint="eastAsia" w:ascii="仿宋" w:hAnsi="仿宋" w:eastAsia="仿宋"/>
          <w:b w:val="0"/>
          <w:color w:val="auto"/>
          <w:highlight w:val="none"/>
        </w:rPr>
        <w:t>二、收</w:t>
      </w:r>
      <w:r>
        <w:rPr>
          <w:rStyle w:val="25"/>
          <w:rFonts w:hint="eastAsia" w:ascii="仿宋" w:hAnsi="仿宋" w:eastAsia="仿宋"/>
          <w:b w:val="0"/>
          <w:bCs w:val="0"/>
          <w:color w:val="auto"/>
          <w:highlight w:val="none"/>
        </w:rPr>
        <w:t>入决算表</w:t>
      </w:r>
      <w:bookmarkEnd w:id="55"/>
    </w:p>
    <w:p w14:paraId="64E16216">
      <w:pPr>
        <w:pStyle w:val="3"/>
        <w:ind w:firstLine="640" w:firstLineChars="200"/>
        <w:rPr>
          <w:rFonts w:ascii="仿宋" w:hAnsi="仿宋" w:eastAsia="仿宋"/>
          <w:color w:val="auto"/>
          <w:highlight w:val="none"/>
        </w:rPr>
      </w:pPr>
      <w:bookmarkStart w:id="56" w:name="_Toc15396621"/>
      <w:r>
        <w:rPr>
          <w:rStyle w:val="25"/>
          <w:rFonts w:hint="eastAsia" w:ascii="仿宋" w:hAnsi="仿宋" w:eastAsia="仿宋"/>
          <w:b w:val="0"/>
          <w:bCs w:val="0"/>
          <w:color w:val="auto"/>
          <w:highlight w:val="none"/>
        </w:rPr>
        <w:t>三、</w:t>
      </w:r>
      <w:r>
        <w:rPr>
          <w:rFonts w:hint="eastAsia" w:ascii="仿宋" w:hAnsi="仿宋" w:eastAsia="仿宋"/>
          <w:b w:val="0"/>
          <w:color w:val="auto"/>
          <w:highlight w:val="none"/>
        </w:rPr>
        <w:t>支</w:t>
      </w:r>
      <w:r>
        <w:rPr>
          <w:rStyle w:val="25"/>
          <w:rFonts w:hint="eastAsia" w:ascii="仿宋" w:hAnsi="仿宋" w:eastAsia="仿宋"/>
          <w:b w:val="0"/>
          <w:bCs w:val="0"/>
          <w:color w:val="auto"/>
          <w:highlight w:val="none"/>
        </w:rPr>
        <w:t>出决算表</w:t>
      </w:r>
      <w:bookmarkEnd w:id="56"/>
    </w:p>
    <w:p w14:paraId="4F97946F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bookmarkStart w:id="57" w:name="_Toc15396622"/>
      <w:r>
        <w:rPr>
          <w:rFonts w:hint="eastAsia" w:ascii="仿宋" w:hAnsi="仿宋" w:eastAsia="仿宋"/>
          <w:b w:val="0"/>
          <w:color w:val="auto"/>
          <w:highlight w:val="none"/>
        </w:rPr>
        <w:t>四、财政拨款收入支出决算总表</w:t>
      </w:r>
      <w:bookmarkEnd w:id="57"/>
    </w:p>
    <w:p w14:paraId="70E0F0A5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bookmarkStart w:id="58" w:name="_Toc15396623"/>
      <w:r>
        <w:rPr>
          <w:rFonts w:hint="eastAsia" w:ascii="仿宋" w:hAnsi="仿宋" w:eastAsia="仿宋"/>
          <w:b w:val="0"/>
          <w:color w:val="auto"/>
          <w:highlight w:val="none"/>
        </w:rPr>
        <w:t>五、财政拨款支出决算明细表</w:t>
      </w:r>
      <w:bookmarkEnd w:id="58"/>
      <w:bookmarkStart w:id="59" w:name="_Toc15396624"/>
    </w:p>
    <w:p w14:paraId="0DF0C340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r>
        <w:rPr>
          <w:rFonts w:hint="eastAsia" w:ascii="仿宋" w:hAnsi="仿宋" w:eastAsia="仿宋"/>
          <w:b w:val="0"/>
          <w:color w:val="auto"/>
          <w:highlight w:val="none"/>
        </w:rPr>
        <w:t>六、一般公共预算财政拨款支出决算表</w:t>
      </w:r>
      <w:bookmarkEnd w:id="59"/>
    </w:p>
    <w:p w14:paraId="16B81AD6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bookmarkStart w:id="60" w:name="_Toc15396625"/>
      <w:r>
        <w:rPr>
          <w:rFonts w:hint="eastAsia" w:ascii="仿宋" w:hAnsi="仿宋" w:eastAsia="仿宋"/>
          <w:b w:val="0"/>
          <w:color w:val="auto"/>
          <w:highlight w:val="none"/>
        </w:rPr>
        <w:t>七、一般公共预算财政拨款支出决算明细表</w:t>
      </w:r>
      <w:bookmarkEnd w:id="60"/>
    </w:p>
    <w:p w14:paraId="66BC4ECF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bookmarkStart w:id="61" w:name="_Toc15396626"/>
      <w:r>
        <w:rPr>
          <w:rFonts w:hint="eastAsia" w:ascii="仿宋" w:hAnsi="仿宋" w:eastAsia="仿宋"/>
          <w:b w:val="0"/>
          <w:color w:val="auto"/>
          <w:highlight w:val="none"/>
        </w:rPr>
        <w:t>八、一般公共预算财政拨款基本支出决算表</w:t>
      </w:r>
      <w:bookmarkEnd w:id="61"/>
    </w:p>
    <w:p w14:paraId="7EFFFE26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bookmarkStart w:id="62" w:name="_Toc15396627"/>
      <w:r>
        <w:rPr>
          <w:rFonts w:hint="eastAsia" w:ascii="仿宋" w:hAnsi="仿宋" w:eastAsia="仿宋"/>
          <w:b w:val="0"/>
          <w:color w:val="auto"/>
          <w:highlight w:val="none"/>
        </w:rPr>
        <w:t>九、一般公共预算财政拨款项目支出决算表</w:t>
      </w:r>
      <w:bookmarkEnd w:id="62"/>
    </w:p>
    <w:p w14:paraId="7417B5E7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bookmarkStart w:id="63" w:name="_Toc15396628"/>
      <w:r>
        <w:rPr>
          <w:rFonts w:hint="eastAsia" w:ascii="仿宋" w:hAnsi="仿宋" w:eastAsia="仿宋"/>
          <w:b w:val="0"/>
          <w:color w:val="auto"/>
          <w:highlight w:val="none"/>
        </w:rPr>
        <w:t>十、</w:t>
      </w:r>
      <w:bookmarkEnd w:id="63"/>
      <w:r>
        <w:rPr>
          <w:rFonts w:hint="eastAsia" w:ascii="仿宋" w:hAnsi="仿宋" w:eastAsia="仿宋"/>
          <w:b w:val="0"/>
          <w:color w:val="auto"/>
          <w:highlight w:val="none"/>
        </w:rPr>
        <w:t>政府性基金预算财政拨款收入支出决算表</w:t>
      </w:r>
    </w:p>
    <w:p w14:paraId="39742DE4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bookmarkStart w:id="64" w:name="_Toc15396629"/>
      <w:r>
        <w:rPr>
          <w:rFonts w:hint="eastAsia" w:ascii="仿宋" w:hAnsi="仿宋" w:eastAsia="仿宋"/>
          <w:b w:val="0"/>
          <w:color w:val="auto"/>
          <w:highlight w:val="none"/>
        </w:rPr>
        <w:t>十一、</w:t>
      </w:r>
      <w:bookmarkEnd w:id="64"/>
      <w:r>
        <w:rPr>
          <w:rFonts w:hint="eastAsia" w:ascii="仿宋" w:hAnsi="仿宋" w:eastAsia="仿宋"/>
          <w:b w:val="0"/>
          <w:color w:val="auto"/>
          <w:highlight w:val="none"/>
        </w:rPr>
        <w:t>国有资本经营预算</w:t>
      </w:r>
      <w:r>
        <w:rPr>
          <w:rFonts w:hint="eastAsia" w:ascii="仿宋" w:hAnsi="仿宋" w:eastAsia="仿宋"/>
          <w:b w:val="0"/>
          <w:color w:val="auto"/>
          <w:highlight w:val="none"/>
          <w:lang w:eastAsia="zh-CN"/>
        </w:rPr>
        <w:t>财政拨款收入</w:t>
      </w:r>
      <w:r>
        <w:rPr>
          <w:rFonts w:hint="eastAsia" w:ascii="仿宋" w:hAnsi="仿宋" w:eastAsia="仿宋"/>
          <w:b w:val="0"/>
          <w:color w:val="auto"/>
          <w:highlight w:val="none"/>
        </w:rPr>
        <w:t>支出决算表</w:t>
      </w:r>
    </w:p>
    <w:p w14:paraId="0B188877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</w:rPr>
      </w:pPr>
      <w:bookmarkStart w:id="65" w:name="_Toc15396630"/>
      <w:r>
        <w:rPr>
          <w:rFonts w:hint="eastAsia" w:ascii="仿宋" w:hAnsi="仿宋" w:eastAsia="仿宋"/>
          <w:b w:val="0"/>
          <w:color w:val="auto"/>
          <w:highlight w:val="none"/>
        </w:rPr>
        <w:t>十二、</w:t>
      </w:r>
      <w:bookmarkEnd w:id="65"/>
      <w:r>
        <w:rPr>
          <w:rFonts w:hint="eastAsia" w:ascii="仿宋" w:hAnsi="仿宋" w:eastAsia="仿宋"/>
          <w:b w:val="0"/>
          <w:color w:val="auto"/>
          <w:highlight w:val="none"/>
          <w:lang w:eastAsia="zh-CN"/>
        </w:rPr>
        <w:t>国有资本经营预算财政拨款支出决算表</w:t>
      </w:r>
    </w:p>
    <w:p w14:paraId="46583135">
      <w:pPr>
        <w:pStyle w:val="3"/>
        <w:ind w:firstLine="640" w:firstLineChars="200"/>
        <w:rPr>
          <w:rFonts w:hint="eastAsia" w:ascii="仿宋" w:hAnsi="仿宋" w:eastAsia="仿宋"/>
          <w:b w:val="0"/>
          <w:color w:val="auto"/>
          <w:highlight w:val="none"/>
          <w:lang w:eastAsia="zh-CN"/>
        </w:rPr>
      </w:pPr>
      <w:bookmarkStart w:id="66" w:name="_Toc15396631"/>
      <w:r>
        <w:rPr>
          <w:rFonts w:hint="eastAsia" w:ascii="仿宋" w:hAnsi="仿宋" w:eastAsia="仿宋"/>
          <w:b w:val="0"/>
          <w:color w:val="auto"/>
          <w:highlight w:val="none"/>
        </w:rPr>
        <w:t>十三、</w:t>
      </w:r>
      <w:bookmarkEnd w:id="66"/>
      <w:r>
        <w:rPr>
          <w:rFonts w:hint="eastAsia" w:ascii="仿宋" w:hAnsi="仿宋" w:eastAsia="仿宋"/>
          <w:b w:val="0"/>
          <w:color w:val="auto"/>
          <w:highlight w:val="none"/>
          <w:lang w:eastAsia="zh-CN"/>
        </w:rPr>
        <w:t>财政拨款“三公”经费支出决算表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</w:sdtPr>
    <w:sdtContent>
      <w:p w14:paraId="772B75CC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24CAFA5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63C9D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AA1EB"/>
    <w:multiLevelType w:val="singleLevel"/>
    <w:tmpl w:val="824AA1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DDED34A"/>
    <w:multiLevelType w:val="singleLevel"/>
    <w:tmpl w:val="9DDED34A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A0E7FBEB"/>
    <w:multiLevelType w:val="singleLevel"/>
    <w:tmpl w:val="A0E7FBEB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CF652CEC"/>
    <w:multiLevelType w:val="singleLevel"/>
    <w:tmpl w:val="CF652CE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2FA047D"/>
    <w:multiLevelType w:val="singleLevel"/>
    <w:tmpl w:val="E2FA047D"/>
    <w:lvl w:ilvl="0" w:tentative="0">
      <w:start w:val="3"/>
      <w:numFmt w:val="chineseCounting"/>
      <w:suff w:val="space"/>
      <w:lvlText w:val="第%1部分"/>
      <w:lvlJc w:val="left"/>
      <w:rPr>
        <w:rFonts w:hint="eastAsia" w:ascii="黑体" w:hAnsi="黑体" w:eastAsia="黑体" w:cs="黑体"/>
        <w:sz w:val="44"/>
        <w:szCs w:val="44"/>
      </w:rPr>
    </w:lvl>
  </w:abstractNum>
  <w:abstractNum w:abstractNumId="5">
    <w:nsid w:val="018F6920"/>
    <w:multiLevelType w:val="singleLevel"/>
    <w:tmpl w:val="018F69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674F0CA"/>
    <w:multiLevelType w:val="singleLevel"/>
    <w:tmpl w:val="6674F0C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YjU1ZjkyMTdmZjFiOTcyYTAyYjcyOWJkMmMxNzQifQ=="/>
  </w:docVars>
  <w:rsids>
    <w:rsidRoot w:val="00F1361C"/>
    <w:rsid w:val="000222C6"/>
    <w:rsid w:val="0002549F"/>
    <w:rsid w:val="000468DB"/>
    <w:rsid w:val="0006487A"/>
    <w:rsid w:val="00065F8F"/>
    <w:rsid w:val="00070A43"/>
    <w:rsid w:val="000768F2"/>
    <w:rsid w:val="0009184B"/>
    <w:rsid w:val="00094236"/>
    <w:rsid w:val="0009593C"/>
    <w:rsid w:val="00097322"/>
    <w:rsid w:val="000A6A92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2216"/>
    <w:rsid w:val="00144D6A"/>
    <w:rsid w:val="0014729F"/>
    <w:rsid w:val="00157BAB"/>
    <w:rsid w:val="001654D1"/>
    <w:rsid w:val="00174518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04CDE"/>
    <w:rsid w:val="0021101A"/>
    <w:rsid w:val="00220536"/>
    <w:rsid w:val="00235629"/>
    <w:rsid w:val="00260C38"/>
    <w:rsid w:val="002616C0"/>
    <w:rsid w:val="00265372"/>
    <w:rsid w:val="002662AA"/>
    <w:rsid w:val="00280496"/>
    <w:rsid w:val="00294DC9"/>
    <w:rsid w:val="00295495"/>
    <w:rsid w:val="002A31DE"/>
    <w:rsid w:val="002B2613"/>
    <w:rsid w:val="002D6D05"/>
    <w:rsid w:val="002F1818"/>
    <w:rsid w:val="002F567B"/>
    <w:rsid w:val="003216A9"/>
    <w:rsid w:val="00335A74"/>
    <w:rsid w:val="00363C2F"/>
    <w:rsid w:val="0036561B"/>
    <w:rsid w:val="0037013F"/>
    <w:rsid w:val="00380C92"/>
    <w:rsid w:val="003A484F"/>
    <w:rsid w:val="003A4883"/>
    <w:rsid w:val="003B0BE0"/>
    <w:rsid w:val="003B0C1B"/>
    <w:rsid w:val="003B688C"/>
    <w:rsid w:val="003C0291"/>
    <w:rsid w:val="003C39AE"/>
    <w:rsid w:val="003C7B60"/>
    <w:rsid w:val="003D0C0F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66FFA"/>
    <w:rsid w:val="0057481D"/>
    <w:rsid w:val="0058486E"/>
    <w:rsid w:val="00585B33"/>
    <w:rsid w:val="0059014D"/>
    <w:rsid w:val="005B5C64"/>
    <w:rsid w:val="005C5337"/>
    <w:rsid w:val="005C6BD0"/>
    <w:rsid w:val="005D1C8B"/>
    <w:rsid w:val="005D468D"/>
    <w:rsid w:val="005D5CED"/>
    <w:rsid w:val="005F1A4C"/>
    <w:rsid w:val="00605688"/>
    <w:rsid w:val="006070AF"/>
    <w:rsid w:val="00607E6C"/>
    <w:rsid w:val="006101B1"/>
    <w:rsid w:val="00614E44"/>
    <w:rsid w:val="0062270A"/>
    <w:rsid w:val="00622830"/>
    <w:rsid w:val="00623DA0"/>
    <w:rsid w:val="00630AEF"/>
    <w:rsid w:val="006325F8"/>
    <w:rsid w:val="00633463"/>
    <w:rsid w:val="00634C9A"/>
    <w:rsid w:val="006440E4"/>
    <w:rsid w:val="0066343B"/>
    <w:rsid w:val="00664777"/>
    <w:rsid w:val="006748A4"/>
    <w:rsid w:val="00681A31"/>
    <w:rsid w:val="00683E73"/>
    <w:rsid w:val="006A3141"/>
    <w:rsid w:val="006A5E34"/>
    <w:rsid w:val="006B2422"/>
    <w:rsid w:val="006B2B9A"/>
    <w:rsid w:val="006C1937"/>
    <w:rsid w:val="006F020C"/>
    <w:rsid w:val="007127B7"/>
    <w:rsid w:val="0071798E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1682"/>
    <w:rsid w:val="007D312A"/>
    <w:rsid w:val="007D3F19"/>
    <w:rsid w:val="007E23B0"/>
    <w:rsid w:val="007E23E5"/>
    <w:rsid w:val="007F1991"/>
    <w:rsid w:val="007F2C2F"/>
    <w:rsid w:val="007F55FC"/>
    <w:rsid w:val="007F5665"/>
    <w:rsid w:val="00800112"/>
    <w:rsid w:val="00813348"/>
    <w:rsid w:val="008253BB"/>
    <w:rsid w:val="0083706E"/>
    <w:rsid w:val="008408F6"/>
    <w:rsid w:val="008423A5"/>
    <w:rsid w:val="00850625"/>
    <w:rsid w:val="00853718"/>
    <w:rsid w:val="00855221"/>
    <w:rsid w:val="00860645"/>
    <w:rsid w:val="00871F71"/>
    <w:rsid w:val="00872FD8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33499"/>
    <w:rsid w:val="00935C98"/>
    <w:rsid w:val="00946945"/>
    <w:rsid w:val="00951248"/>
    <w:rsid w:val="0095152F"/>
    <w:rsid w:val="00954C49"/>
    <w:rsid w:val="00955E37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A4B"/>
    <w:rsid w:val="009C2E98"/>
    <w:rsid w:val="009D3447"/>
    <w:rsid w:val="009D4711"/>
    <w:rsid w:val="009F1185"/>
    <w:rsid w:val="009F18CD"/>
    <w:rsid w:val="009F2A13"/>
    <w:rsid w:val="009F7527"/>
    <w:rsid w:val="00A04EB0"/>
    <w:rsid w:val="00A13CC1"/>
    <w:rsid w:val="00A16847"/>
    <w:rsid w:val="00A237D8"/>
    <w:rsid w:val="00A268C4"/>
    <w:rsid w:val="00A307CD"/>
    <w:rsid w:val="00A331C8"/>
    <w:rsid w:val="00A40A00"/>
    <w:rsid w:val="00A4142F"/>
    <w:rsid w:val="00A422EB"/>
    <w:rsid w:val="00A45BB7"/>
    <w:rsid w:val="00A56DF2"/>
    <w:rsid w:val="00A56E6E"/>
    <w:rsid w:val="00A67AB5"/>
    <w:rsid w:val="00A733B2"/>
    <w:rsid w:val="00A741C2"/>
    <w:rsid w:val="00A91760"/>
    <w:rsid w:val="00A93B00"/>
    <w:rsid w:val="00A93C21"/>
    <w:rsid w:val="00AB64C9"/>
    <w:rsid w:val="00AC3C6A"/>
    <w:rsid w:val="00AD5620"/>
    <w:rsid w:val="00AD656B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57DAF"/>
    <w:rsid w:val="00B77EA6"/>
    <w:rsid w:val="00B81598"/>
    <w:rsid w:val="00B841F1"/>
    <w:rsid w:val="00B944D6"/>
    <w:rsid w:val="00BB4DF0"/>
    <w:rsid w:val="00BC289F"/>
    <w:rsid w:val="00BC2D50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87FD8"/>
    <w:rsid w:val="00C91381"/>
    <w:rsid w:val="00C91CBB"/>
    <w:rsid w:val="00CB4E70"/>
    <w:rsid w:val="00CC09B6"/>
    <w:rsid w:val="00CC666F"/>
    <w:rsid w:val="00CD1E3F"/>
    <w:rsid w:val="00CE44F6"/>
    <w:rsid w:val="00CE49DA"/>
    <w:rsid w:val="00CE7B61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7035F"/>
    <w:rsid w:val="00DA634F"/>
    <w:rsid w:val="00DA65AC"/>
    <w:rsid w:val="00DB1913"/>
    <w:rsid w:val="00DC410D"/>
    <w:rsid w:val="00DC5A81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72B1"/>
    <w:rsid w:val="00E50624"/>
    <w:rsid w:val="00E568DF"/>
    <w:rsid w:val="00E64269"/>
    <w:rsid w:val="00E82267"/>
    <w:rsid w:val="00E853CE"/>
    <w:rsid w:val="00E867B6"/>
    <w:rsid w:val="00EA010F"/>
    <w:rsid w:val="00ED1B63"/>
    <w:rsid w:val="00ED3C1F"/>
    <w:rsid w:val="00ED4085"/>
    <w:rsid w:val="00ED420E"/>
    <w:rsid w:val="00ED6FBE"/>
    <w:rsid w:val="00EE2F57"/>
    <w:rsid w:val="00EF4C34"/>
    <w:rsid w:val="00EF77C6"/>
    <w:rsid w:val="00F05438"/>
    <w:rsid w:val="00F1361C"/>
    <w:rsid w:val="00F156F0"/>
    <w:rsid w:val="00F160C7"/>
    <w:rsid w:val="00F2408F"/>
    <w:rsid w:val="00F240E9"/>
    <w:rsid w:val="00F36D8F"/>
    <w:rsid w:val="00F417B1"/>
    <w:rsid w:val="00F45853"/>
    <w:rsid w:val="00F602DF"/>
    <w:rsid w:val="00F754A1"/>
    <w:rsid w:val="00F81FD9"/>
    <w:rsid w:val="00F841AA"/>
    <w:rsid w:val="00F84A94"/>
    <w:rsid w:val="00F87E96"/>
    <w:rsid w:val="00FA23E8"/>
    <w:rsid w:val="00FD3CC1"/>
    <w:rsid w:val="00FF1E02"/>
    <w:rsid w:val="00FF30B4"/>
    <w:rsid w:val="03BD7079"/>
    <w:rsid w:val="04355D1D"/>
    <w:rsid w:val="069C1D10"/>
    <w:rsid w:val="07316C91"/>
    <w:rsid w:val="0766064A"/>
    <w:rsid w:val="08B66FA6"/>
    <w:rsid w:val="09A0336F"/>
    <w:rsid w:val="0A2032A3"/>
    <w:rsid w:val="0B8A37D8"/>
    <w:rsid w:val="0CCC5A89"/>
    <w:rsid w:val="0CCD14A5"/>
    <w:rsid w:val="0D4C707B"/>
    <w:rsid w:val="0DA97128"/>
    <w:rsid w:val="0E4139A5"/>
    <w:rsid w:val="0F0B23D5"/>
    <w:rsid w:val="0F765AD5"/>
    <w:rsid w:val="10C055FF"/>
    <w:rsid w:val="11447E5E"/>
    <w:rsid w:val="118107EC"/>
    <w:rsid w:val="11D93894"/>
    <w:rsid w:val="11DD6519"/>
    <w:rsid w:val="123F733F"/>
    <w:rsid w:val="14462475"/>
    <w:rsid w:val="15747FCD"/>
    <w:rsid w:val="16BB723D"/>
    <w:rsid w:val="16EB3658"/>
    <w:rsid w:val="18015F3F"/>
    <w:rsid w:val="181E339C"/>
    <w:rsid w:val="19893419"/>
    <w:rsid w:val="1B8F4D8F"/>
    <w:rsid w:val="1BE8440E"/>
    <w:rsid w:val="1C823F9D"/>
    <w:rsid w:val="1D155CEE"/>
    <w:rsid w:val="1EB07D28"/>
    <w:rsid w:val="1FFF46B5"/>
    <w:rsid w:val="20F57F95"/>
    <w:rsid w:val="23AC09B7"/>
    <w:rsid w:val="240371BF"/>
    <w:rsid w:val="24EB5E30"/>
    <w:rsid w:val="2523183E"/>
    <w:rsid w:val="25711CC6"/>
    <w:rsid w:val="25C741E6"/>
    <w:rsid w:val="26235823"/>
    <w:rsid w:val="269779E4"/>
    <w:rsid w:val="277B53F5"/>
    <w:rsid w:val="27842671"/>
    <w:rsid w:val="29FD04D3"/>
    <w:rsid w:val="2ABE7A3E"/>
    <w:rsid w:val="2B3974FB"/>
    <w:rsid w:val="2C0E0D23"/>
    <w:rsid w:val="2C844B41"/>
    <w:rsid w:val="2CA234A8"/>
    <w:rsid w:val="2CD51841"/>
    <w:rsid w:val="2EFA178C"/>
    <w:rsid w:val="2F2131FE"/>
    <w:rsid w:val="2F236894"/>
    <w:rsid w:val="30B46D73"/>
    <w:rsid w:val="317874B0"/>
    <w:rsid w:val="317B17E3"/>
    <w:rsid w:val="31853836"/>
    <w:rsid w:val="319F7F4E"/>
    <w:rsid w:val="31AD0696"/>
    <w:rsid w:val="32193F7E"/>
    <w:rsid w:val="34CE6938"/>
    <w:rsid w:val="35D1117B"/>
    <w:rsid w:val="36F24681"/>
    <w:rsid w:val="37271420"/>
    <w:rsid w:val="38037262"/>
    <w:rsid w:val="38097D53"/>
    <w:rsid w:val="383D272C"/>
    <w:rsid w:val="38AD46F7"/>
    <w:rsid w:val="39384FC0"/>
    <w:rsid w:val="3972013A"/>
    <w:rsid w:val="39AD6474"/>
    <w:rsid w:val="39AE70AB"/>
    <w:rsid w:val="3C0C0783"/>
    <w:rsid w:val="3CE65600"/>
    <w:rsid w:val="3F9F3A96"/>
    <w:rsid w:val="3FE07E89"/>
    <w:rsid w:val="400A67EE"/>
    <w:rsid w:val="408C3D93"/>
    <w:rsid w:val="415D39C9"/>
    <w:rsid w:val="423D5A66"/>
    <w:rsid w:val="42FE2B3A"/>
    <w:rsid w:val="451D728B"/>
    <w:rsid w:val="468E4F83"/>
    <w:rsid w:val="48BF60AB"/>
    <w:rsid w:val="49371388"/>
    <w:rsid w:val="493C27E9"/>
    <w:rsid w:val="496F39ED"/>
    <w:rsid w:val="49FF41D3"/>
    <w:rsid w:val="4BB65BDC"/>
    <w:rsid w:val="4BE068DB"/>
    <w:rsid w:val="4BF6002B"/>
    <w:rsid w:val="4D8A64A3"/>
    <w:rsid w:val="4ECE2238"/>
    <w:rsid w:val="4FAF5E8F"/>
    <w:rsid w:val="51DB4B86"/>
    <w:rsid w:val="51F25DFE"/>
    <w:rsid w:val="52600519"/>
    <w:rsid w:val="54345897"/>
    <w:rsid w:val="54433D8D"/>
    <w:rsid w:val="54D55042"/>
    <w:rsid w:val="55333C3E"/>
    <w:rsid w:val="57812699"/>
    <w:rsid w:val="588D4578"/>
    <w:rsid w:val="58C93DAB"/>
    <w:rsid w:val="59634505"/>
    <w:rsid w:val="5A783348"/>
    <w:rsid w:val="5AAE2782"/>
    <w:rsid w:val="5AEA6650"/>
    <w:rsid w:val="5B3B68B4"/>
    <w:rsid w:val="5B8F7043"/>
    <w:rsid w:val="5B9F2496"/>
    <w:rsid w:val="5D2C03F5"/>
    <w:rsid w:val="5EB6652D"/>
    <w:rsid w:val="5F2A2299"/>
    <w:rsid w:val="5F345152"/>
    <w:rsid w:val="635D5453"/>
    <w:rsid w:val="63654057"/>
    <w:rsid w:val="64CA39A1"/>
    <w:rsid w:val="650848D1"/>
    <w:rsid w:val="65176C23"/>
    <w:rsid w:val="6926543C"/>
    <w:rsid w:val="69630ADE"/>
    <w:rsid w:val="6C4A05C8"/>
    <w:rsid w:val="6D3B1A89"/>
    <w:rsid w:val="70CE3BAA"/>
    <w:rsid w:val="71BF4EC2"/>
    <w:rsid w:val="726357A8"/>
    <w:rsid w:val="72734D90"/>
    <w:rsid w:val="73307A3D"/>
    <w:rsid w:val="73D32C53"/>
    <w:rsid w:val="73ED5DA0"/>
    <w:rsid w:val="740A06BD"/>
    <w:rsid w:val="7412278C"/>
    <w:rsid w:val="771340C5"/>
    <w:rsid w:val="79E7B28D"/>
    <w:rsid w:val="7BCA052B"/>
    <w:rsid w:val="7C070531"/>
    <w:rsid w:val="7D6C547E"/>
    <w:rsid w:val="7E186DF4"/>
    <w:rsid w:val="7F9F20EE"/>
    <w:rsid w:val="7FBF766B"/>
    <w:rsid w:val="9E3A10E2"/>
    <w:rsid w:val="DF31163D"/>
    <w:rsid w:val="F2E1F9D4"/>
    <w:rsid w:val="F78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autoRedefine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29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100" b="0" i="0" u="none" strike="noStrike" kern="1200" spc="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r>
              <a:rPr lang="zh-CN" altLang="en-US" sz="1100" b="1">
                <a:solidFill>
                  <a:schemeClr val="tx1"/>
                </a:solidFill>
                <a:latin typeface="+mj-ea"/>
                <a:ea typeface="+mj-ea"/>
              </a:rPr>
              <a:t>单位：万元</a:t>
            </a:r>
            <a:endParaRPr lang="en-US" altLang="zh-CN" sz="1100" b="1">
              <a:solidFill>
                <a:schemeClr val="tx1"/>
              </a:solidFill>
              <a:latin typeface="+mj-ea"/>
              <a:ea typeface="+mj-ea"/>
            </a:endParaRPr>
          </a:p>
          <a:p>
            <a:pPr>
              <a:defRPr lang="zh-CN" sz="1100" b="0" i="0" u="none" strike="noStrike" kern="1200" spc="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en-US" sz="1000">
              <a:solidFill>
                <a:schemeClr val="tx1"/>
              </a:solidFill>
              <a:latin typeface="+mj-ea"/>
              <a:ea typeface="+mj-ea"/>
            </a:endParaRPr>
          </a:p>
        </c:rich>
      </c:tx>
      <c:layout>
        <c:manualLayout>
          <c:xMode val="edge"/>
          <c:yMode val="edge"/>
          <c:x val="0.694437607679055"/>
          <c:y val="0.048875855327468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62084182007399"/>
          <c:y val="0.2341388228231"/>
          <c:w val="0.947026246087166"/>
          <c:h val="0.609386086801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255.19</c:v>
                </c:pt>
                <c:pt idx="1">
                  <c:v>254.84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2442320"/>
        <c:axId val="442445648"/>
      </c:barChart>
      <c:catAx>
        <c:axId val="44244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2445648"/>
        <c:crosses val="autoZero"/>
        <c:auto val="1"/>
        <c:lblAlgn val="ctr"/>
        <c:lblOffset val="100"/>
        <c:noMultiLvlLbl val="0"/>
      </c:catAx>
      <c:valAx>
        <c:axId val="44244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244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1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1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1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663.84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100%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一般公共预算财政拨款收入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663.84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1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1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1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663.84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100%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663.84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050" b="1"/>
              <a:t>单位：万元</a:t>
            </a:r>
            <a:endParaRPr lang="zh-CN" altLang="en-US" sz="1050" b="1"/>
          </a:p>
        </c:rich>
      </c:tx>
      <c:layout>
        <c:manualLayout>
          <c:xMode val="edge"/>
          <c:yMode val="edge"/>
          <c:x val="0.752829280038526"/>
          <c:y val="0.033023735810113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0240789790512882"/>
                  <c:y val="0.07017543859649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82885699376296e-17"/>
                  <c:y val="0.09907120743034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841200081148055"/>
                      <c:h val="0.095707076863070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664.2</c:v>
                </c:pt>
                <c:pt idx="1">
                  <c:v>663.84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533472"/>
        <c:axId val="156534304"/>
      </c:barChart>
      <c:catAx>
        <c:axId val="15653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6534304"/>
        <c:crosses val="autoZero"/>
        <c:auto val="1"/>
        <c:lblAlgn val="ctr"/>
        <c:lblOffset val="100"/>
        <c:noMultiLvlLbl val="0"/>
      </c:catAx>
      <c:valAx>
        <c:axId val="15653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653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100" b="1"/>
              <a:t>单位：万元</a:t>
            </a:r>
            <a:endParaRPr lang="zh-CN" sz="1100" b="1"/>
          </a:p>
        </c:rich>
      </c:tx>
      <c:layout>
        <c:manualLayout>
          <c:xMode val="edge"/>
          <c:yMode val="edge"/>
          <c:x val="0.77133200891325"/>
          <c:y val="0.029197080291970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240789790512882"/>
          <c:y val="0.209700722394221"/>
          <c:w val="0.947026246087166"/>
          <c:h val="0.609386086801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664.2</c:v>
                </c:pt>
                <c:pt idx="1">
                  <c:v>663.84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7441664"/>
        <c:axId val="267443200"/>
      </c:barChart>
      <c:catAx>
        <c:axId val="26744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7443200"/>
        <c:crosses val="autoZero"/>
        <c:auto val="1"/>
        <c:lblAlgn val="ctr"/>
        <c:lblOffset val="100"/>
        <c:noMultiLvlLbl val="0"/>
      </c:catAx>
      <c:valAx>
        <c:axId val="2674432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74416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050" b="1"/>
              <a:t>单位：万元</a:t>
            </a:r>
            <a:endParaRPr lang="zh-CN" sz="1050" b="1"/>
          </a:p>
        </c:rich>
      </c:tx>
      <c:layout>
        <c:manualLayout>
          <c:xMode val="edge"/>
          <c:yMode val="edge"/>
          <c:x val="0.726396917148362"/>
          <c:y val="0.028877887788778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占比</c:v>
                </c:pt>
              </c:strCache>
            </c:strRef>
          </c:tx>
          <c:spPr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explosion val="23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explosion val="2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0529098963785596"/>
                  <c:y val="0.13173644136067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8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14.28%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90080864169435"/>
                  <c:y val="0.059120410072503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8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5.37%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8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0.88%</a:t>
                    </a:r>
                    <a:endParaRPr lang="en-US" altLang="zh-CN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0484938479510871"/>
                  <c:y val="0.04096079883578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8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2.11%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8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77.36%</a:t>
                    </a:r>
                    <a:endParaRPr lang="en-US" altLang="zh-CN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社会保障和就业支出（类）</c:v>
                </c:pt>
                <c:pt idx="1">
                  <c:v>住房保障支出（类）</c:v>
                </c:pt>
                <c:pt idx="2">
                  <c:v>教育支出（类）</c:v>
                </c:pt>
                <c:pt idx="3">
                  <c:v>卫生健康支出（类）</c:v>
                </c:pt>
                <c:pt idx="4">
                  <c:v>交通运输支出（类）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94.79</c:v>
                </c:pt>
                <c:pt idx="1">
                  <c:v>35.66</c:v>
                </c:pt>
                <c:pt idx="2">
                  <c:v>5.86</c:v>
                </c:pt>
                <c:pt idx="3">
                  <c:v>13.97</c:v>
                </c:pt>
                <c:pt idx="4">
                  <c:v>513.56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16</Pages>
  <Words>4402</Words>
  <Characters>6776</Characters>
  <Lines>61</Lines>
  <Paragraphs>17</Paragraphs>
  <TotalTime>9</TotalTime>
  <ScaleCrop>false</ScaleCrop>
  <LinksUpToDate>false</LinksUpToDate>
  <CharactersWithSpaces>6803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2020-08-05T09:49:00Z</dcterms:created>
  <dc:creator>曹颖</dc:creator>
  <cp:lastModifiedBy>admin</cp:lastModifiedBy>
  <cp:lastPrinted>2023-08-29T16:26:00Z</cp:lastPrinted>
  <dcterms:modified xsi:type="dcterms:W3CDTF">2024-05-29T04:58:28Z</dcterms:modified>
  <dc:title>四川省***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74470C3010B84147913424EC536BD1AB_12</vt:lpwstr>
  </property>
</Properties>
</file>