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“川交建安系统”账号开通情况</w:t>
      </w:r>
    </w:p>
    <w:tbl>
      <w:tblPr>
        <w:tblStyle w:val="7"/>
        <w:tblW w:w="892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9"/>
        <w:gridCol w:w="4317"/>
        <w:gridCol w:w="19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3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市（州）行业主管部门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县（市、区）行业主管部门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当前开通人员账号数量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成都市交通运输局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锦江区住房建设和交通运输局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青羊区住房建设和交通运输局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金牛区住房建设和交通运输局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武侯区住房建设和交通运输局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成华区住房建设和交通运输局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龙泉驿区交通运输局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青白江区交通运输局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新都区交通运输局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温江区交通运输局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双流区住房建设和交通局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郫都区交通运输局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新津区建设和交通运输局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金堂县交通运输局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大邑县交通运输局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蒲江县交通运输局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都江堰市交通运输局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彭州市交通运输局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邛崃市交通运输局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崇州市交通运输局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简阳市交通运输局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自贡市交通运输局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自流井区交通运输局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贡井区交通运输局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大安区交通运输局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沿滩区交通运输局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荣县交通运输局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富顺县交通运输局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攀枝花市交通运输局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仁和区交通运输局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米易县交通运输局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盐边县交通运输局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泸州市交通运输局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江阳区交通运输局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纳溪区交通运输局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龙马潭区交通运输局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泸县交通运输局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合江县交通运输局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叙永县交通运输局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古蔺县交通运输局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德阳市交通运输局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旌阳区交通运输局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罗江区交通运输局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中江县交通运输局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广汉市交通运输局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什邡市交通运输局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绵竹市交通运输局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绵阳市交通运输局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涪城区交通运输局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游仙区交通运输局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安州区交通运输局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三台县交通运输局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盐亭县交通运输局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梓潼县交通运输局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北川羌族自治县交通运输局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平武县交通运输局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江油市交通运输局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广元市交通运输局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利州区交通运输局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昭化区交通运输局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朝天区交通运输局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旺苍县交通运输局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青川县交通运输局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剑阁县交通运输局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苍溪县交通运输局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遂宁市交通运输局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船山区交通运输局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安居区交通运输局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蓬溪县交通运输局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大英县交通运输局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射洪市交通运输局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内江市交通运输局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市中区交通运输局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东兴区交通运输局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威远县交通运输局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资中县交通运输局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隆昌市交通运输局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乐山市交通运输局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市中区交通运输局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沙湾区交通运输局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五通桥区交通运输局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金口河区交通运输局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犍为县交通运输局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井研县交通运输局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夹江县交通运输局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沐川县交通运输局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峨边彝族自治县交通运输局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马边彝族自治县交通运输局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峨眉山市交通运输局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南充市交通运输局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顺庆区交通运输局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高坪区交通运输局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嘉陵区交通运输局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南部县交通运输局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营山县交通运输局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蓬安县交通运输局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仪陇县交通运输局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西充县交通运输局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阆中市交通运输局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眉山市交通运输局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东坡区交通运输局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彭山区交通运输局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仁寿县交通运输局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洪雅县交通运输局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丹棱县交通运输局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青神县交通运输局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宜宾市交通运输局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翠屏区交通运输局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南溪区交通运输局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叙州区交通运输局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江安县交通运输局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长宁县交通运输局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高县交通运输局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珙县交通运输局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筠连县交通运输局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兴文县交通运输局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屏山县交通运输局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广安市交通运输局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广安区交通运输局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前锋区交通运输局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岳池县交通运输局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武胜县交通运输局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邻水县交通运输局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华蓥市交通运输局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达州市交通运输局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通川区交通运输局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达川区交通运输局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宣汉县交通运输局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开江县交通运输局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大竹县交通运输局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渠县交通运输局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万源市交通运输局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雅安市交通运输局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雨城区交通运输局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名山区交通运输局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荥经县交通运输局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汉源县交通运输局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石棉县交通运输局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天全县交通运输局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芦山县交通运输局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宝兴县交通运输局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巴中市交通运输局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巴州区交通运输局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恩阳区交通运输局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通江县交通运输局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南江县交通运输局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平昌县交通运输局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资阳市交通运输局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雁江区交通运输局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安岳县交通运输局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乐至县交通运输局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阿坝藏族羌族自治州交通运输局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马尔康市交通运输局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汶川县交通运输局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理县交通运输局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茂县交通运输局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松潘县交通运输局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九寨沟县交通运输局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金川县交通运输局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小金县交通运输局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黑水县交通运输局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壤塘县交通运输局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阿坝县交通运输局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若尔盖县交通运输局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红原县交通运输局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甘孜藏族自治州交通运输局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康定市交通运输局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泸定县交通运输局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丹巴县交通运输局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九龙县交通运输局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雅江县交通运输局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道孚县交通运输局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炉霍县交通运输局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甘孜县交通运输局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新龙县交通运输局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德格县交通运输局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白玉县交通运输局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石渠县交通运输局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色达县交通运输局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理塘县交通运输局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巴塘县交通运输局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乡城县交通运输局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稻城县交通运输局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得荣县交通运输局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凉山彝族自治州交通运输局</w:t>
            </w: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西昌市交通运输局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会理市交通运输局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木里藏族自治县交通运输局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盐源县交通运输局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德昌县交通运输局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会东县交通运输局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宁南县交通运输局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普格县交通运输局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布拖县交通运输局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金阳县交通运输局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昭觉县交通运输局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喜德县交通运输局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冕宁县交通运输局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越西县交通运输局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甘洛县交通运输局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美姑县交通运输局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4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雷波县交通运输局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</w:tr>
    </w:tbl>
    <w:p>
      <w:pPr>
        <w:rPr>
          <w:rFonts w:hint="eastAsia"/>
          <w:lang w:val="en-US" w:eastAsia="zh-CN"/>
        </w:rPr>
        <w:sectPr>
          <w:footerReference r:id="rId3" w:type="default"/>
          <w:pgSz w:w="11906" w:h="16838"/>
          <w:pgMar w:top="2098" w:right="1531" w:bottom="1871" w:left="1531" w:header="851" w:footer="992" w:gutter="0"/>
          <w:paperSrc/>
          <w:pgNumType w:fmt="decimal" w:start="2"/>
          <w:cols w:space="720" w:num="1"/>
          <w:rtlGutter w:val="0"/>
          <w:docGrid w:type="lines" w:linePitch="317" w:charSpace="0"/>
        </w:sectPr>
      </w:pPr>
    </w:p>
    <w:p>
      <w:pPr>
        <w:pStyle w:val="2"/>
        <w:ind w:left="0" w:leftChars="0" w:firstLine="0" w:firstLineChars="0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</w:p>
    <w:p>
      <w:pPr>
        <w:pStyle w:val="2"/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“川交建安系统”高速公路项目录入情况</w:t>
      </w:r>
    </w:p>
    <w:tbl>
      <w:tblPr>
        <w:tblStyle w:val="7"/>
        <w:tblW w:w="88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029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在建高速公路项目名称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是否录入项目基础数据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G4216线宜宾新市至攀枝花高速公路宁南至攀枝花段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G4216线宜宾新市至攀枝花高速公路金阳至宁南段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G4216线宜宾新市至攀枝花高速公路新市至金阳段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乐西高速马边至昭觉段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G0615线久治至马尔康高速公路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G7611线昭通（川滇界）至西昌段高速公路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成绵苍巴高速公路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G7611都匀-香格里拉高速公路（西昌至香格里拉段）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天府新区经眉山至乐山高速公路项目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泸定至石棉高速公路项目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西昌至宁南高速公路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阆中至营山高速公路项目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四川省九寨沟（甘川界）至绵阳公路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遂宁至重庆高速公路（四川境）扩容工程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G5京昆高速公路广元至绵阳段扩容工程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G5京昆高速川陕界至广元段扩容工程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G42线南充至成都段高速扩容工程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G0512线成都至乐山段高速扩容工程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镇巴（川陕界）至广安高速公路通江至广安段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镇巴（川陕界）至广安高速公路川陕界至王坪段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资中至铜梁（四川境）高速公路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资中至乐山高速公路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南充过境高速公路广（元）南（充）至南广（安）段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G5京昆高速绵阳至成都段扩容工程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南充至潼南（四川境）高速公路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天府新区至邛崃高速公路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会理至禄劝高速公路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泸州至古蔺高速公路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自贡至永川（四川境）高速公路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乐山至西昌高速公路乐山至马边段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G4218线康定至新都桥高速公路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G4218线康定至新都桥高速公路康定过境段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G85、G76重庆（川渝界）至成都高速公路扩容工程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达州绕城高速公路西段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大竹至垫江高速公路（四川境）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60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开江至梁平高速公路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否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  <w:sectPr>
          <w:footerReference r:id="rId4" w:type="default"/>
          <w:pgSz w:w="11906" w:h="16838"/>
          <w:pgMar w:top="2098" w:right="1531" w:bottom="1871" w:left="1531" w:header="851" w:footer="992" w:gutter="0"/>
          <w:paperSrc/>
          <w:pgNumType w:fmt="decimal" w:start="16"/>
          <w:cols w:space="720" w:num="1"/>
          <w:rtlGutter w:val="0"/>
          <w:docGrid w:type="lines" w:linePitch="317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3</w:t>
      </w:r>
    </w:p>
    <w:tbl>
      <w:tblPr>
        <w:tblStyle w:val="7"/>
        <w:tblW w:w="1368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811"/>
        <w:gridCol w:w="1928"/>
        <w:gridCol w:w="1710"/>
        <w:gridCol w:w="75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3684" w:type="dxa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27" w:rightChars="13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“川交建安系统”国省干线及农村公路项目数据录入情况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市州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5月5日上报在建项目数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系统录入项目数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已录入项目名称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自贡市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泸州市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绵阳市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广元市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内江市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省道215线大件过境公路工程（省道215线夹江甘江至市中区安谷段）PPP项目，省道215线五通桥区冠英镇至西坝镇改线工程，国道245线金口河过境段公路改建工程。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南充市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眉山市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宜宾市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广安市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达州市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雅安市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318名山区黑竹（成都界）至雨城区多营段改线工程，G351线夹金山隧道新建工程，省道217石棉县王岗坪至石棉县城段灾后恢复重建工程，G662大渡河大桥（甘孜界）至石棉县城段灾后恢复重建工程，S432宝兴县陇东镇复兴村火地槽崩塌点隧道新建工程，S217石棉县王岗坪至石棉县城段灾后恢复重建工程，省道104雨城区坪石至回龙（洪雅界）段改建工程项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巴中市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资阳市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阿坝藏族羌族自治州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G351夹金山隧道新建工程。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甘孜藏族自治州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G662（原S217）灾后恢复重建项目（泸定境）。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凉山彝族自治州</w:t>
            </w:r>
          </w:p>
        </w:tc>
        <w:tc>
          <w:tcPr>
            <w:tcW w:w="19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172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5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227线盐源县黄泥梁子大桥工程，S467线雷波县坪头大桥至美姑县洛俄依甘大桥（一线天）地灾整治项目（一期工程），S469线木里县乔瓦镇至园坝子(原马班邮路)新建工程，国道348线磨盘山隧道至盐源县大金河段改建工程，国道356线金阳丙底至土沟段工程，国道245线会理通安至皎平渡(云南界)段改建工程，S218线喜德县洛哈镇至丁字坡段改建工程，凉山州普格县花山乡C048-友谊村九组公路安全生命防护工程，凉山州普格县夹铁乡都尔村-仁家村五组公路安全生命防护工程。</w:t>
            </w:r>
          </w:p>
        </w:tc>
      </w:tr>
    </w:tbl>
    <w:p>
      <w:pPr>
        <w:suppressAutoHyphens/>
        <w:bidi w:val="0"/>
        <w:rPr>
          <w:rFonts w:hint="eastAsia" w:ascii="仿宋_GB2312" w:hAnsi="仿宋_GB2312" w:eastAsia="仿宋_GB2312" w:cs="仿宋_GB2312"/>
          <w:color w:val="auto"/>
          <w:sz w:val="24"/>
          <w:szCs w:val="24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</w:p>
    <w:p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tbl>
      <w:tblPr>
        <w:tblStyle w:val="7"/>
        <w:tblW w:w="1402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5402"/>
        <w:gridCol w:w="2300"/>
        <w:gridCol w:w="1567"/>
        <w:gridCol w:w="2533"/>
        <w:gridCol w:w="13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402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“川交建安系统”已录入项目情况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46" w:hRule="atLeast"/>
        </w:trPr>
        <w:tc>
          <w:tcPr>
            <w:tcW w:w="85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5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2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是否有维护项目基础数据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（含机构/标段及人员）</w:t>
            </w:r>
          </w:p>
        </w:tc>
        <w:tc>
          <w:tcPr>
            <w:tcW w:w="1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是否有创建驻地</w:t>
            </w:r>
          </w:p>
        </w:tc>
        <w:tc>
          <w:tcPr>
            <w:tcW w:w="253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驻地是否齐备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（施工、监理、试验检测等）</w:t>
            </w:r>
          </w:p>
        </w:tc>
        <w:tc>
          <w:tcPr>
            <w:tcW w:w="13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驻地人员信息是否完整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G4216线宜宾新市至攀枝花高速公路宁南至攀枝花段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G4216线宜宾新市至攀枝花高速公路金阳至宁南段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G4216线宜宾新市至攀枝花高速公路新市至金阳段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乐西高速马边至昭觉段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G0615线久治至马尔康高速公路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G7611线昭通（川滇界）至西昌段高速公路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成绵苍巴高速公路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G7611都匀-香格里拉高速公路（西昌至香格里拉段）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天府新区经眉山至乐山高速公路项目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泸定至石棉高速公路项目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西昌至宁南高速公路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阆中至营山高速公路项目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四川省九寨沟（甘川界）至绵阳公路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遂宁至重庆高速公路（四川境）扩容工程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省道215线大件过境公路工程（省道215线夹江甘江至市中区安谷段）PPP项目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省道215线五通桥区冠英镇至西坝镇改线工程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国道245线金口河过境段公路改建工程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G318名山区黑竹（成都界）至雨城区多营段改线工程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G351线夹金山隧道新建工程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 217 石棉县王岗坪至石棉县城段灾后恢复重建工程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G662大渡河大桥（甘孜界）至石棉县城段灾后恢复重建工程   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S432宝兴县陇东镇复兴村火地槽崩塌点隧道新建工程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S217石棉县王岗坪至石棉县城段灾后恢复重建工程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省道104雨城区坪石至回龙（洪雅界）段改建工程项目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G351夹金山隧道新建工程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G662（原 S217）灾后恢复重建项目 （泸定境）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国道227线盐源县黄泥梁子大桥工程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S467线雷波县坪头大桥至美姑县洛俄依甘大桥（一线天）地灾整治项目（一期工程）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S469 线木里县乔瓦镇至园坝子(原马班邮路)新建工程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国道348线磨盘山隧道至盐源县大金河段改建工程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国道356线金阳丙底至土沟段工程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国道245线会理通安至皎平渡(云南界)段改建工程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S218 线喜德县洛哈镇至丁字坡段改建工程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凉山州普格县花山乡C048-友谊村九组公路安全生命防护工程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凉山州普格县夹铁乡都尔村-仁家村五组公路安全生命防护工程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00" w:hRule="atLeast"/>
        </w:trPr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5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岷江龙溪口航电枢纽工程</w:t>
            </w:r>
          </w:p>
        </w:tc>
        <w:tc>
          <w:tcPr>
            <w:tcW w:w="2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25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</w:tr>
    </w:tbl>
    <w:p/>
    <w:p>
      <w:pPr>
        <w:rPr>
          <w:rFonts w:hint="eastAsia"/>
          <w:lang w:eastAsia="zh-CN"/>
        </w:rPr>
      </w:pPr>
    </w:p>
    <w:p>
      <w:pPr>
        <w:pStyle w:val="2"/>
        <w:rPr>
          <w:rFonts w:hint="eastAsia"/>
        </w:rPr>
        <w:sectPr>
          <w:pgSz w:w="16838" w:h="11906" w:orient="landscape"/>
          <w:pgMar w:top="1800" w:right="1440" w:bottom="1800" w:left="1440" w:header="720" w:footer="720" w:gutter="0"/>
          <w:cols w:space="720" w:num="1"/>
          <w:docGrid w:type="lines" w:linePitch="312" w:charSpace="0"/>
        </w:sectPr>
      </w:pPr>
    </w:p>
    <w:p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widowControl w:val="0"/>
        <w:jc w:val="center"/>
        <w:rPr>
          <w:rFonts w:hint="default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32"/>
          <w:szCs w:val="32"/>
          <w:lang w:val="en-US" w:eastAsia="zh-CN" w:bidi="ar-SA"/>
        </w:rPr>
        <w:t>“川交建安系统”驻地基础信息录入清单</w:t>
      </w:r>
    </w:p>
    <w:p>
      <w:pPr>
        <w:rPr>
          <w:rFonts w:hint="default"/>
          <w:lang w:val="en-US" w:eastAsia="zh-CN"/>
        </w:rPr>
      </w:pPr>
    </w:p>
    <w:tbl>
      <w:tblPr>
        <w:tblStyle w:val="7"/>
        <w:tblW w:w="836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88"/>
        <w:gridCol w:w="2867"/>
        <w:gridCol w:w="253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驻地基础信息类别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基础信息内容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是否必填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驻地基本信息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驻地名称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驻地编号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所属行业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所属项目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机构/标段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驻地类型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驻地负责人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行政区域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驻地地址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位置特征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驻地性质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房建类型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驻地经度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驻地纬度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电子围栏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地质灾害危险性评估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地灾评估等级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山区涉洪驻地灾害风险隐患评估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是否报备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涉洪评估等级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8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3人1屋临灾处置机制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避险明白卡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转移避险指挥员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避险过程监管员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安置管理责任人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撤离图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撤离路线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安全屋经纬度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8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安全屋地址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88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安全屋图片</w:t>
            </w:r>
          </w:p>
        </w:tc>
        <w:tc>
          <w:tcPr>
            <w:tcW w:w="25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是</w:t>
            </w:r>
          </w:p>
        </w:tc>
      </w:tr>
    </w:tbl>
    <w:p>
      <w:pPr>
        <w:pStyle w:val="2"/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Ae0rEJ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0MDQzOGI0MzEyMTY5NWZhMDk1ZDU0MTVkODZhYmIifQ=="/>
  </w:docVars>
  <w:rsids>
    <w:rsidRoot w:val="F3F84514"/>
    <w:rsid w:val="06A71872"/>
    <w:rsid w:val="1B7FB381"/>
    <w:rsid w:val="1FDBD63F"/>
    <w:rsid w:val="1FEFDC60"/>
    <w:rsid w:val="25BF9D6F"/>
    <w:rsid w:val="26FD8560"/>
    <w:rsid w:val="2D772FB1"/>
    <w:rsid w:val="2D7FDA89"/>
    <w:rsid w:val="2FBF2C36"/>
    <w:rsid w:val="327E587D"/>
    <w:rsid w:val="32CEEA53"/>
    <w:rsid w:val="377D190E"/>
    <w:rsid w:val="379F7695"/>
    <w:rsid w:val="39EBC51F"/>
    <w:rsid w:val="39FE7F3E"/>
    <w:rsid w:val="3AB54D58"/>
    <w:rsid w:val="3DFE2CE0"/>
    <w:rsid w:val="3DFF2A61"/>
    <w:rsid w:val="3F4DBF78"/>
    <w:rsid w:val="3F7F437E"/>
    <w:rsid w:val="495F08C1"/>
    <w:rsid w:val="4B7EF871"/>
    <w:rsid w:val="4CEFB786"/>
    <w:rsid w:val="4DF9410E"/>
    <w:rsid w:val="579792B5"/>
    <w:rsid w:val="57CC8CBE"/>
    <w:rsid w:val="5A7E1EE7"/>
    <w:rsid w:val="5BDD68D0"/>
    <w:rsid w:val="5DBF54E2"/>
    <w:rsid w:val="5EFF5041"/>
    <w:rsid w:val="5F731854"/>
    <w:rsid w:val="5F8FE3DC"/>
    <w:rsid w:val="5FBB550E"/>
    <w:rsid w:val="5FEF7AD5"/>
    <w:rsid w:val="5FFDF209"/>
    <w:rsid w:val="69B7B574"/>
    <w:rsid w:val="6DFFBA2A"/>
    <w:rsid w:val="6EE2B3D4"/>
    <w:rsid w:val="6FF366A8"/>
    <w:rsid w:val="6FFC658E"/>
    <w:rsid w:val="6FFD1A97"/>
    <w:rsid w:val="6FFE053D"/>
    <w:rsid w:val="70BF590F"/>
    <w:rsid w:val="7357F2B6"/>
    <w:rsid w:val="73BD2871"/>
    <w:rsid w:val="75BF904A"/>
    <w:rsid w:val="776D1C23"/>
    <w:rsid w:val="77BF3132"/>
    <w:rsid w:val="77D3BC8F"/>
    <w:rsid w:val="78FFA998"/>
    <w:rsid w:val="79DF3E8B"/>
    <w:rsid w:val="79FFA528"/>
    <w:rsid w:val="7AFFA1BC"/>
    <w:rsid w:val="7B9D849D"/>
    <w:rsid w:val="7BF59949"/>
    <w:rsid w:val="7C8F2730"/>
    <w:rsid w:val="7CBC2E2E"/>
    <w:rsid w:val="7CFB2634"/>
    <w:rsid w:val="7DB86F0F"/>
    <w:rsid w:val="7DCD250D"/>
    <w:rsid w:val="7DD3C2A7"/>
    <w:rsid w:val="7DD556E7"/>
    <w:rsid w:val="7DDDEC71"/>
    <w:rsid w:val="7DF78E92"/>
    <w:rsid w:val="7DFFAD29"/>
    <w:rsid w:val="7E3B2F41"/>
    <w:rsid w:val="7EDFEBA2"/>
    <w:rsid w:val="7EEB3F3E"/>
    <w:rsid w:val="7EF427D7"/>
    <w:rsid w:val="7F34EC10"/>
    <w:rsid w:val="7F5F614F"/>
    <w:rsid w:val="7F765C4F"/>
    <w:rsid w:val="7FAF144B"/>
    <w:rsid w:val="7FAF8D85"/>
    <w:rsid w:val="7FDD37A2"/>
    <w:rsid w:val="7FDEE888"/>
    <w:rsid w:val="7FEE6057"/>
    <w:rsid w:val="7FF79484"/>
    <w:rsid w:val="7FF9B784"/>
    <w:rsid w:val="7FFB19D5"/>
    <w:rsid w:val="7FFCD015"/>
    <w:rsid w:val="7FFF05ED"/>
    <w:rsid w:val="93FDCEED"/>
    <w:rsid w:val="9BF5233F"/>
    <w:rsid w:val="9CF44732"/>
    <w:rsid w:val="A1EF9098"/>
    <w:rsid w:val="AED12E0B"/>
    <w:rsid w:val="AFF9E9A7"/>
    <w:rsid w:val="B1F88209"/>
    <w:rsid w:val="B5AB57B8"/>
    <w:rsid w:val="B77DADEB"/>
    <w:rsid w:val="BAAC667F"/>
    <w:rsid w:val="BBBF0200"/>
    <w:rsid w:val="BDDAC7FE"/>
    <w:rsid w:val="BDFD607E"/>
    <w:rsid w:val="BEFD070A"/>
    <w:rsid w:val="BFBBFE5A"/>
    <w:rsid w:val="BFBF2CB4"/>
    <w:rsid w:val="BFDD7CE9"/>
    <w:rsid w:val="C6FFC9E7"/>
    <w:rsid w:val="CDB2B7ED"/>
    <w:rsid w:val="CFFA080B"/>
    <w:rsid w:val="CFFF70E2"/>
    <w:rsid w:val="D4CFD7C4"/>
    <w:rsid w:val="D7BF71F3"/>
    <w:rsid w:val="DD6C6047"/>
    <w:rsid w:val="DDEE1326"/>
    <w:rsid w:val="DDFCDF30"/>
    <w:rsid w:val="DEBBB1E9"/>
    <w:rsid w:val="DF7D1B7A"/>
    <w:rsid w:val="DFBF63DF"/>
    <w:rsid w:val="DFD7883F"/>
    <w:rsid w:val="DFDFCF9B"/>
    <w:rsid w:val="DFF500B1"/>
    <w:rsid w:val="DFFB10B0"/>
    <w:rsid w:val="E0FB14C2"/>
    <w:rsid w:val="E3D73E0B"/>
    <w:rsid w:val="E73A7870"/>
    <w:rsid w:val="E7ADE787"/>
    <w:rsid w:val="E7EF4A54"/>
    <w:rsid w:val="EB3791AC"/>
    <w:rsid w:val="EB7F3687"/>
    <w:rsid w:val="EBCBB840"/>
    <w:rsid w:val="ECFF1BBC"/>
    <w:rsid w:val="ED62795A"/>
    <w:rsid w:val="EDED6D5C"/>
    <w:rsid w:val="EFE77601"/>
    <w:rsid w:val="F3F84514"/>
    <w:rsid w:val="F5DD6862"/>
    <w:rsid w:val="F69ECA3B"/>
    <w:rsid w:val="F6B77707"/>
    <w:rsid w:val="F6FB00CE"/>
    <w:rsid w:val="F7369397"/>
    <w:rsid w:val="F76EBA95"/>
    <w:rsid w:val="F7BFF4B6"/>
    <w:rsid w:val="F7FD7F7E"/>
    <w:rsid w:val="F99D375F"/>
    <w:rsid w:val="FAEF8846"/>
    <w:rsid w:val="FB97C0B7"/>
    <w:rsid w:val="FCFF43F6"/>
    <w:rsid w:val="FD0FAB32"/>
    <w:rsid w:val="FDD64B73"/>
    <w:rsid w:val="FEFFEC3A"/>
    <w:rsid w:val="FF116C60"/>
    <w:rsid w:val="FF1BDEA1"/>
    <w:rsid w:val="FF57B0CE"/>
    <w:rsid w:val="FF864D94"/>
    <w:rsid w:val="FFEA319A"/>
    <w:rsid w:val="FFED1A5B"/>
    <w:rsid w:val="FFEFC1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3">
    <w:name w:val="Body Text"/>
    <w:basedOn w:val="1"/>
    <w:next w:val="1"/>
    <w:unhideWhenUsed/>
    <w:qFormat/>
    <w:uiPriority w:val="0"/>
    <w:pPr>
      <w:widowControl w:val="0"/>
      <w:spacing w:after="120"/>
      <w:jc w:val="both"/>
    </w:pPr>
    <w:rPr>
      <w:rFonts w:ascii="Times New Roman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0">
    <w:name w:val="彩色列表 - 强调文字颜色 1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CMMI正文"/>
    <w:basedOn w:val="1"/>
    <w:qFormat/>
    <w:uiPriority w:val="0"/>
    <w:pPr>
      <w:spacing w:line="360" w:lineRule="auto"/>
      <w:ind w:left="150" w:leftChars="150" w:firstLine="200" w:firstLineChars="200"/>
      <w:jc w:val="left"/>
    </w:pPr>
    <w:rPr>
      <w:szCs w:val="21"/>
    </w:rPr>
  </w:style>
  <w:style w:type="character" w:customStyle="1" w:styleId="12">
    <w:name w:val="font01"/>
    <w:basedOn w:val="8"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2034</Words>
  <Characters>2111</Characters>
  <Lines>0</Lines>
  <Paragraphs>0</Paragraphs>
  <TotalTime>24.6666666666667</TotalTime>
  <ScaleCrop>false</ScaleCrop>
  <LinksUpToDate>false</LinksUpToDate>
  <CharactersWithSpaces>2131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2024-04-28T07:23:00Z</dcterms:created>
  <dc:creator>李茜</dc:creator>
  <cp:lastModifiedBy>郭蓉</cp:lastModifiedBy>
  <cp:lastPrinted>2024-05-09T06:24:19Z</cp:lastPrinted>
  <dcterms:modified xsi:type="dcterms:W3CDTF">2024-05-09T09:44:45Z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FDEF1A16F76747D19C50C06E2CA252F7_13</vt:lpwstr>
  </property>
</Properties>
</file>