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D878A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198074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 w14:paraId="4FE773E8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 w14:paraId="7F22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3541780C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 w14:paraId="0B69E1A6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38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 w14:paraId="206717BD"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 w14:paraId="79EAF4ED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C0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467FCC12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 w14:paraId="64650853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2A4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 w14:paraId="451854ED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 w14:paraId="38C4F360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86CD0E4"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>注意：1.合并、分立等事项涉及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的企业均须在此页法人签字、单位盖章（被吸收企业已工商注销的除外）。  </w:t>
      </w:r>
    </w:p>
    <w:p w14:paraId="19BFC0F7"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 w14:paraId="6ECD3B07"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 w14:paraId="6EE7B6C9"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48BD"/>
    <w:rsid w:val="374969CE"/>
    <w:rsid w:val="51DE48BD"/>
    <w:rsid w:val="666BD686"/>
    <w:rsid w:val="7BCC9579"/>
    <w:rsid w:val="7FD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106</Characters>
  <Lines>0</Lines>
  <Paragraphs>0</Paragraphs>
  <TotalTime>0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2022-03-25T04:02:00Z</dcterms:created>
  <dc:creator>Administrator</dc:creator>
  <cp:lastModifiedBy>之一</cp:lastModifiedBy>
  <cp:lastPrinted>2022-03-25T23:03:00Z</cp:lastPrinted>
  <dcterms:modified xsi:type="dcterms:W3CDTF">2025-10-13T08:34:47Z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803D5BCE2A1B41898D0F53935B211D1B_13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