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黑体" w:cs="Times New Roman"/>
          <w:b w:val="0"/>
          <w:bCs w:val="0"/>
          <w:color w:val="auto"/>
          <w:spacing w:val="0"/>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val="0"/>
          <w:bCs w:val="0"/>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bCs/>
          <w:spacing w:val="-20"/>
          <w:sz w:val="44"/>
          <w:szCs w:val="44"/>
          <w:lang w:val="en-US" w:eastAsia="zh-CN"/>
        </w:rPr>
      </w:pPr>
      <w:r>
        <w:rPr>
          <w:rFonts w:hint="default" w:ascii="Times New Roman" w:hAnsi="Times New Roman" w:eastAsia="方正小标宋_GBK" w:cs="Times New Roman"/>
          <w:b/>
          <w:bCs/>
          <w:spacing w:val="-20"/>
          <w:sz w:val="44"/>
          <w:szCs w:val="44"/>
          <w:lang w:val="en-US" w:eastAsia="zh-CN"/>
        </w:rPr>
        <w:t>山东高速四川产业发展有限公司简要事迹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20"/>
          <w:sz w:val="32"/>
          <w:szCs w:val="32"/>
          <w:lang w:eastAsia="zh-CN"/>
        </w:rPr>
      </w:pPr>
      <w:r>
        <w:rPr>
          <w:rFonts w:hint="default" w:ascii="Times New Roman" w:hAnsi="Times New Roman" w:eastAsia="仿宋_GB2312" w:cs="Times New Roman"/>
          <w:sz w:val="32"/>
          <w:szCs w:val="32"/>
        </w:rPr>
        <w:t>山东高速</w:t>
      </w:r>
      <w:r>
        <w:rPr>
          <w:rFonts w:hint="default" w:ascii="Times New Roman" w:hAnsi="Times New Roman" w:eastAsia="仿宋_GB2312" w:cs="Times New Roman"/>
          <w:sz w:val="32"/>
          <w:szCs w:val="32"/>
          <w:lang w:val="en-US" w:eastAsia="zh-CN"/>
        </w:rPr>
        <w:t>四川产业发展有限公司</w:t>
      </w:r>
      <w:r>
        <w:rPr>
          <w:rFonts w:hint="default" w:ascii="Times New Roman" w:hAnsi="Times New Roman" w:eastAsia="仿宋_GB2312" w:cs="Times New Roman"/>
          <w:sz w:val="32"/>
          <w:szCs w:val="32"/>
        </w:rPr>
        <w:t>扎根四川</w:t>
      </w:r>
      <w:r>
        <w:rPr>
          <w:rFonts w:hint="default" w:ascii="Times New Roman" w:hAnsi="Times New Roman" w:eastAsia="仿宋_GB2312" w:cs="Times New Roman"/>
          <w:sz w:val="32"/>
          <w:szCs w:val="32"/>
          <w:lang w:val="en-US" w:eastAsia="zh-CN"/>
        </w:rPr>
        <w:t>19年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始终不忘初心、牢记使命，坚决执行党中央、四川省委省政府和上级主管单位的决策部署，扛牢国企政治责任、经济责任和社会责任</w:t>
      </w:r>
      <w:r>
        <w:rPr>
          <w:rFonts w:hint="default" w:ascii="Times New Roman" w:hAnsi="Times New Roman" w:eastAsia="仿宋_GB2312" w:cs="Times New Roman"/>
          <w:sz w:val="32"/>
          <w:szCs w:val="32"/>
        </w:rPr>
        <w:t>，为四川</w:t>
      </w:r>
      <w:r>
        <w:rPr>
          <w:rFonts w:hint="default" w:ascii="Times New Roman" w:hAnsi="Times New Roman" w:eastAsia="仿宋_GB2312" w:cs="Times New Roman"/>
          <w:sz w:val="32"/>
          <w:szCs w:val="32"/>
          <w:lang w:val="en-US" w:eastAsia="zh-CN"/>
        </w:rPr>
        <w:t>经济社会发展贡献了“山高”力量</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不断深化产业投资。自2005年投资建设四川首个BOT高速公路项目（乐宜高速）以来，</w:t>
      </w:r>
      <w:r>
        <w:rPr>
          <w:rFonts w:hint="default" w:ascii="Times New Roman" w:hAnsi="Times New Roman" w:eastAsia="仿宋_GB2312" w:cs="Times New Roman"/>
          <w:color w:val="auto"/>
          <w:sz w:val="32"/>
          <w:szCs w:val="32"/>
          <w:lang w:val="en-US" w:eastAsia="zh-CN"/>
        </w:rPr>
        <w:t>持续深耕厚植，目前高速公路运营管理总里程近600公里；开拓</w:t>
      </w:r>
      <w:r>
        <w:rPr>
          <w:rFonts w:hint="default" w:ascii="Times New Roman" w:hAnsi="Times New Roman" w:eastAsia="仿宋_GB2312" w:cs="Times New Roman"/>
          <w:color w:val="auto"/>
          <w:sz w:val="32"/>
          <w:szCs w:val="32"/>
        </w:rPr>
        <w:t>基础</w:t>
      </w:r>
      <w:r>
        <w:rPr>
          <w:rFonts w:hint="default" w:ascii="Times New Roman" w:hAnsi="Times New Roman" w:eastAsia="仿宋_GB2312" w:cs="Times New Roman"/>
          <w:sz w:val="32"/>
          <w:szCs w:val="32"/>
        </w:rPr>
        <w:t>设施投资建设、油气能源经营、水环境治理等板块，</w:t>
      </w:r>
      <w:r>
        <w:rPr>
          <w:rFonts w:hint="default" w:ascii="Times New Roman" w:hAnsi="Times New Roman" w:eastAsia="仿宋_GB2312" w:cs="Times New Roman"/>
          <w:sz w:val="32"/>
          <w:szCs w:val="32"/>
          <w:lang w:val="en-US" w:eastAsia="zh-CN"/>
        </w:rPr>
        <w:t>在川</w:t>
      </w:r>
      <w:r>
        <w:rPr>
          <w:rFonts w:hint="default" w:ascii="Times New Roman" w:hAnsi="Times New Roman" w:eastAsia="仿宋_GB2312" w:cs="Times New Roman"/>
          <w:sz w:val="32"/>
          <w:szCs w:val="32"/>
        </w:rPr>
        <w:t>总投资规模</w:t>
      </w:r>
      <w:r>
        <w:rPr>
          <w:rFonts w:hint="default" w:ascii="Times New Roman" w:hAnsi="Times New Roman" w:eastAsia="仿宋_GB2312" w:cs="Times New Roman"/>
          <w:sz w:val="32"/>
          <w:szCs w:val="32"/>
          <w:lang w:val="en-US" w:eastAsia="zh-CN"/>
        </w:rPr>
        <w:t>达</w:t>
      </w:r>
      <w:r>
        <w:rPr>
          <w:rFonts w:hint="default" w:ascii="Times New Roman" w:hAnsi="Times New Roman" w:eastAsia="仿宋_GB2312" w:cs="Times New Roman"/>
          <w:sz w:val="32"/>
          <w:szCs w:val="32"/>
        </w:rPr>
        <w:t>240亿元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color w:val="auto"/>
          <w:sz w:val="32"/>
          <w:szCs w:val="32"/>
          <w:lang w:val="en-US" w:eastAsia="zh-CN"/>
        </w:rPr>
        <w:t>充分彰显国企担当。各业务板块促进1300余人就业，近三年合计减免通行费超3.5亿元，纳税额超1.8亿元。</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sz w:val="32"/>
          <w:szCs w:val="32"/>
          <w:lang w:val="en-US" w:eastAsia="zh-CN"/>
        </w:rPr>
        <w:t>持续</w:t>
      </w:r>
      <w:r>
        <w:rPr>
          <w:rFonts w:hint="default" w:ascii="Times New Roman" w:hAnsi="Times New Roman" w:eastAsia="仿宋_GB2312" w:cs="Times New Roman"/>
          <w:color w:val="auto"/>
          <w:sz w:val="32"/>
          <w:szCs w:val="32"/>
          <w:lang w:val="en-US" w:eastAsia="zh-CN"/>
        </w:rPr>
        <w:t>塑亮企业品牌。荣获“全国交通运输行业文明示范窗口”“全国青年文明号”“公路交通优质工程奖”（李春奖）等市厅级及以上各类荣誉超180项</w:t>
      </w:r>
      <w:r>
        <w:rPr>
          <w:rFonts w:hint="default" w:ascii="Times New Roman" w:hAnsi="Times New Roman" w:eastAsia="仿宋_GB2312" w:cs="Times New Roman"/>
          <w:spacing w:val="20"/>
          <w:sz w:val="32"/>
          <w:szCs w:val="32"/>
          <w:lang w:eastAsia="zh-CN"/>
        </w:rPr>
        <w:t>。</w:t>
      </w:r>
    </w:p>
    <w:p>
      <w:pPr>
        <w:pStyle w:val="6"/>
        <w:keepNext w:val="0"/>
        <w:keepLines w:val="0"/>
        <w:widowControl/>
        <w:suppressLineNumbers w:val="0"/>
        <w:shd w:val="clear" w:color="auto" w:fill="FFFFFF"/>
        <w:spacing w:before="0" w:beforeAutospacing="0" w:after="0" w:afterAutospacing="0"/>
        <w:ind w:right="0"/>
        <w:jc w:val="left"/>
        <w:rPr>
          <w:rFonts w:hint="default" w:ascii="Times New Roman" w:hAnsi="Times New Roman" w:eastAsia="仿宋_GB2312" w:cs="Times New Roman"/>
          <w:sz w:val="32"/>
          <w:szCs w:val="32"/>
          <w:lang w:val="en-US" w:eastAsia="zh-CN"/>
        </w:rPr>
      </w:pPr>
    </w:p>
    <w:p>
      <w:pPr>
        <w:pStyle w:val="6"/>
        <w:keepNext w:val="0"/>
        <w:keepLines w:val="0"/>
        <w:widowControl/>
        <w:suppressLineNumbers w:val="0"/>
        <w:shd w:val="clear" w:color="auto" w:fill="FFFFFF"/>
        <w:spacing w:before="0" w:beforeAutospacing="0" w:after="0" w:afterAutospacing="0"/>
        <w:ind w:left="0" w:right="0" w:firstLine="640" w:firstLineChars="200"/>
        <w:jc w:val="left"/>
        <w:rPr>
          <w:rFonts w:hint="default" w:ascii="Times New Roman" w:hAnsi="Times New Roman" w:eastAsia="仿宋_GB2312" w:cs="Times New Roman"/>
          <w:b w:val="0"/>
          <w:bCs w:val="0"/>
          <w:color w:val="auto"/>
          <w:kern w:val="0"/>
          <w:sz w:val="32"/>
          <w:szCs w:val="32"/>
        </w:rPr>
      </w:pPr>
    </w:p>
    <w:p>
      <w:pPr>
        <w:pStyle w:val="4"/>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keepNext w:val="0"/>
        <w:keepLines w:val="0"/>
        <w:pageBreakBefore w:val="0"/>
        <w:widowControl w:val="0"/>
        <w:kinsoku/>
        <w:wordWrap/>
        <w:overflowPunct/>
        <w:topLinePunct w:val="0"/>
        <w:autoSpaceDE/>
        <w:autoSpaceDN/>
        <w:bidi w:val="0"/>
        <w:adjustRightInd/>
        <w:snapToGrid/>
        <w:spacing w:after="0" w:afterLines="0" w:line="580" w:lineRule="exact"/>
        <w:jc w:val="center"/>
        <w:textAlignment w:val="auto"/>
        <w:rPr>
          <w:rFonts w:hint="default" w:ascii="Times New Roman" w:hAnsi="Times New Roman" w:eastAsia="方正小标宋_GBK" w:cs="Times New Roman"/>
          <w:b/>
          <w:bCs/>
          <w:spacing w:val="-20"/>
          <w:sz w:val="44"/>
          <w:szCs w:val="44"/>
          <w:lang w:val="en-US" w:eastAsia="zh-CN"/>
        </w:rPr>
      </w:pPr>
      <w:r>
        <w:rPr>
          <w:rFonts w:hint="default" w:ascii="Times New Roman" w:hAnsi="Times New Roman" w:eastAsia="方正小标宋_GBK" w:cs="Times New Roman"/>
          <w:b/>
          <w:bCs/>
          <w:spacing w:val="-20"/>
          <w:sz w:val="44"/>
          <w:szCs w:val="44"/>
          <w:lang w:val="en-US" w:eastAsia="zh-CN"/>
        </w:rPr>
        <w:t>中国十九冶集团有限公司建筑工程分公司</w:t>
      </w:r>
    </w:p>
    <w:p>
      <w:pPr>
        <w:keepNext w:val="0"/>
        <w:keepLines w:val="0"/>
        <w:pageBreakBefore w:val="0"/>
        <w:widowControl w:val="0"/>
        <w:kinsoku/>
        <w:wordWrap/>
        <w:overflowPunct/>
        <w:topLinePunct w:val="0"/>
        <w:autoSpaceDE/>
        <w:autoSpaceDN/>
        <w:bidi w:val="0"/>
        <w:adjustRightInd/>
        <w:snapToGrid/>
        <w:spacing w:after="0" w:afterLines="0" w:line="580" w:lineRule="exact"/>
        <w:jc w:val="center"/>
        <w:textAlignment w:val="auto"/>
        <w:rPr>
          <w:rFonts w:hint="default" w:ascii="Times New Roman" w:hAnsi="Times New Roman" w:eastAsia="方正小标宋_GBK" w:cs="Times New Roman"/>
          <w:b/>
          <w:bCs/>
          <w:spacing w:val="-20"/>
          <w:sz w:val="44"/>
          <w:szCs w:val="44"/>
          <w:lang w:val="en-US" w:eastAsia="zh-CN"/>
        </w:rPr>
      </w:pPr>
      <w:r>
        <w:rPr>
          <w:rFonts w:hint="default" w:ascii="Times New Roman" w:hAnsi="Times New Roman" w:eastAsia="方正小标宋_GBK" w:cs="Times New Roman"/>
          <w:b/>
          <w:bCs/>
          <w:spacing w:val="-20"/>
          <w:sz w:val="44"/>
          <w:szCs w:val="44"/>
          <w:lang w:val="en-US" w:eastAsia="zh-CN"/>
        </w:rPr>
        <w:t>董亮简要事迹</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中国十九冶副总经济师，建筑工程公司总经理、党委副书记，</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西昌建设公司法定代表人 董亮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董亮，硕士，高级工程师，现任中国十九冶副总经济师，建筑工程公司总经理、党委副书记，曾任职于上海宝冶。其任职中国十九冶市场营销事业二部党总支书记期间，该党总支获评2021年先进基层党组织；任职上海宝冶期间，所在鄂尔多斯市体育中心、中国商飞民机示范产业园一期项目分别获评“中国土木工程詹天佑奖”“2014-2015年度中国建设工程鲁班奖（国家优质工程奖）”、省部级建筑技术应用示范工程-中冶建筑新技术应用示范工程等殊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该同志</w:t>
      </w:r>
      <w:r>
        <w:rPr>
          <w:rFonts w:hint="default" w:ascii="Times New Roman" w:hAnsi="Times New Roman" w:eastAsia="仿宋_GB2312" w:cs="Times New Roman"/>
          <w:sz w:val="32"/>
          <w:szCs w:val="32"/>
          <w:lang w:val="en-US" w:eastAsia="zh-CN"/>
        </w:rPr>
        <w:t>政治立场坚定、工作认真负责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始终坚持用习近平新时代中国特色社会主义思想武装头脑、指导实践、推动工作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在工作中取得了突出成果成效。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建章立制规范管理。</w:t>
      </w:r>
      <w:r>
        <w:rPr>
          <w:rFonts w:hint="default" w:ascii="Times New Roman" w:hAnsi="Times New Roman" w:eastAsia="仿宋_GB2312" w:cs="Times New Roman"/>
          <w:b w:val="0"/>
          <w:bCs w:val="0"/>
          <w:sz w:val="32"/>
          <w:szCs w:val="32"/>
          <w:lang w:val="en-US" w:eastAsia="zh-CN"/>
        </w:rPr>
        <w:t>坚持问题导向，</w:t>
      </w:r>
      <w:r>
        <w:rPr>
          <w:rFonts w:hint="default" w:ascii="Times New Roman" w:hAnsi="Times New Roman" w:eastAsia="仿宋_GB2312" w:cs="Times New Roman"/>
          <w:sz w:val="32"/>
          <w:szCs w:val="32"/>
          <w:lang w:val="en-US" w:eastAsia="zh-CN"/>
        </w:rPr>
        <w:t>梳理企业管理“沉疴”，</w:t>
      </w:r>
      <w:r>
        <w:rPr>
          <w:rFonts w:hint="default" w:ascii="Times New Roman" w:hAnsi="Times New Roman" w:eastAsia="仿宋_GB2312" w:cs="Times New Roman"/>
          <w:b w:val="0"/>
          <w:bCs w:val="0"/>
          <w:sz w:val="32"/>
          <w:szCs w:val="32"/>
        </w:rPr>
        <w:t>推动</w:t>
      </w:r>
      <w:r>
        <w:rPr>
          <w:rFonts w:hint="default" w:ascii="Times New Roman" w:hAnsi="Times New Roman" w:eastAsia="仿宋_GB2312" w:cs="Times New Roman"/>
          <w:b w:val="0"/>
          <w:bCs w:val="0"/>
          <w:sz w:val="32"/>
          <w:szCs w:val="32"/>
          <w:lang w:val="en-US" w:eastAsia="zh-CN"/>
        </w:rPr>
        <w:t>学集团规章制度、梳部室权责业务，编制《管理手册》，夯实精细管理根基；健全战线管理机制，将精细管理要求有机嵌入OA、轻推流程，推动主责部门统筹调度、多部门“分兵把口”形成合力；调整组织机构设置，动态优化“三清单一流程”，完善两会制度体系，确保企业上下贯通、高效运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市场开拓步履不停。</w:t>
      </w:r>
      <w:r>
        <w:rPr>
          <w:rFonts w:hint="default" w:ascii="Times New Roman" w:hAnsi="Times New Roman" w:eastAsia="仿宋_GB2312" w:cs="Times New Roman"/>
          <w:sz w:val="32"/>
          <w:szCs w:val="32"/>
          <w:lang w:val="en-US" w:eastAsia="zh-CN"/>
        </w:rPr>
        <w:t>坚持以上率下</w:t>
      </w:r>
      <w:r>
        <w:rPr>
          <w:rFonts w:hint="default" w:ascii="Times New Roman" w:hAnsi="Times New Roman" w:eastAsia="仿宋_GB2312" w:cs="Times New Roman"/>
          <w:sz w:val="32"/>
          <w:szCs w:val="32"/>
        </w:rPr>
        <w:t>，长期亲自带队奔赴在外抢抓市场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大刀阔斧重建市场营销制度、架构、队伍，实现</w:t>
      </w: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市场营销从无到有、从弱到强的根本性转变；对市场开发版图进行战略规划、精准攻坚，</w:t>
      </w:r>
      <w:r>
        <w:rPr>
          <w:rFonts w:hint="default" w:ascii="Times New Roman" w:hAnsi="Times New Roman" w:eastAsia="仿宋_GB2312" w:cs="Times New Roman"/>
          <w:sz w:val="32"/>
          <w:szCs w:val="32"/>
          <w:lang w:val="en-US" w:eastAsia="zh-CN"/>
        </w:rPr>
        <w:t>开发一大批重点市场、重点客户，实现2022年市场签约居十九冶首位。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铁腕经营稳中有进。</w:t>
      </w:r>
      <w:r>
        <w:rPr>
          <w:rFonts w:hint="default" w:ascii="Times New Roman" w:hAnsi="Times New Roman" w:eastAsia="仿宋_GB2312" w:cs="Times New Roman"/>
          <w:sz w:val="32"/>
          <w:szCs w:val="32"/>
          <w:lang w:val="en-US" w:eastAsia="zh-CN"/>
        </w:rPr>
        <w:t>坚持稳中求进工作总基调，狠抓企业生产经营，纵深推进企业改革和业务转型，多措并举推动企业</w:t>
      </w:r>
      <w:r>
        <w:rPr>
          <w:rFonts w:hint="default" w:ascii="Times New Roman" w:hAnsi="Times New Roman" w:eastAsia="仿宋_GB2312" w:cs="Times New Roman"/>
          <w:sz w:val="32"/>
          <w:szCs w:val="32"/>
        </w:rPr>
        <w:t>内控管理能力、均质履约能力、创新发展能力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风险防范化解能力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品牌影响力全面提升。公司承建项目先后荣获“国家优质工程奖”“全国优秀焊接工程奖”等嘉誉。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lang w:val="en-US" w:eastAsia="zh-CN"/>
        </w:rPr>
        <w:t>队伍建设高瞻远瞩。</w:t>
      </w:r>
      <w:r>
        <w:rPr>
          <w:rFonts w:hint="default" w:ascii="Times New Roman" w:hAnsi="Times New Roman" w:eastAsia="仿宋_GB2312" w:cs="Times New Roman"/>
          <w:sz w:val="32"/>
          <w:szCs w:val="32"/>
          <w:lang w:val="en-US" w:eastAsia="zh-CN"/>
        </w:rPr>
        <w:t>坚持党管干部、党管人才，深入推进“三项制度”改革和“八支队伍”建设，健全干部人才选培、考评机制；弘扬劳动精神，大力开展劳动竞赛，努力申创技能大师工作室，培养高技能人才队伍；推动干部轮岗锻炼，落实“三培养、两推荐”要求，</w:t>
      </w:r>
      <w:r>
        <w:rPr>
          <w:rFonts w:hint="default" w:ascii="Times New Roman" w:hAnsi="Times New Roman" w:eastAsia="仿宋_GB2312" w:cs="Times New Roman"/>
          <w:b w:val="0"/>
          <w:bCs w:val="0"/>
          <w:sz w:val="32"/>
          <w:szCs w:val="32"/>
        </w:rPr>
        <w:t>加大优秀年轻干部选培力度，为企业高质量发展提供源源不断的人才保障和智力支撑。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党建引领服务大局。</w:t>
      </w:r>
      <w:r>
        <w:rPr>
          <w:rFonts w:hint="default" w:ascii="Times New Roman" w:hAnsi="Times New Roman" w:eastAsia="仿宋_GB2312" w:cs="Times New Roman"/>
          <w:sz w:val="32"/>
          <w:szCs w:val="32"/>
        </w:rPr>
        <w:t>坚持党建</w:t>
      </w:r>
      <w:r>
        <w:rPr>
          <w:rFonts w:hint="default" w:ascii="Times New Roman" w:hAnsi="Times New Roman" w:eastAsia="仿宋_GB2312" w:cs="Times New Roman"/>
          <w:sz w:val="32"/>
          <w:szCs w:val="32"/>
          <w:lang w:val="en-US" w:eastAsia="zh-CN"/>
        </w:rPr>
        <w:t>统领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下好</w:t>
      </w:r>
      <w:r>
        <w:rPr>
          <w:rFonts w:hint="default" w:ascii="Times New Roman" w:hAnsi="Times New Roman" w:eastAsia="仿宋_GB2312" w:cs="Times New Roman"/>
          <w:sz w:val="32"/>
          <w:szCs w:val="32"/>
        </w:rPr>
        <w:t>“党建生产一盘棋”，顶层推进将党的领导有机融入</w:t>
      </w: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治理体系；加强“三基”建设，持续深化“党旗飘扬、党徽闪光”行动，推动党建与生产经营深度融合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加强纪律作风建设，把稳从严治党治企“方向盘”，努力构建国有企业“大监督”格局，营造风清气正的干事创业氛围，</w:t>
      </w:r>
      <w:r>
        <w:rPr>
          <w:rFonts w:hint="default" w:ascii="Times New Roman" w:hAnsi="Times New Roman" w:eastAsia="仿宋_GB2312" w:cs="Times New Roman"/>
          <w:sz w:val="32"/>
          <w:szCs w:val="32"/>
        </w:rPr>
        <w:t>以高质量党建引领保障高质量发展。</w:t>
      </w:r>
    </w:p>
    <w:p>
      <w:pPr>
        <w:pStyle w:val="7"/>
        <w:rPr>
          <w:rFonts w:hint="default" w:ascii="Times New Roman" w:hAnsi="Times New Roman" w:eastAsia="楷体" w:cs="Times New Roman"/>
          <w:color w:val="000000"/>
          <w:spacing w:val="-20"/>
          <w:sz w:val="32"/>
          <w:szCs w:val="32"/>
        </w:rPr>
      </w:pPr>
    </w:p>
    <w:p>
      <w:pPr>
        <w:rPr>
          <w:rFonts w:hint="default" w:ascii="Times New Roman" w:hAnsi="Times New Roman" w:eastAsia="楷体" w:cs="Times New Roman"/>
          <w:color w:val="000000"/>
          <w:spacing w:val="-20"/>
          <w:sz w:val="32"/>
          <w:szCs w:val="32"/>
        </w:rPr>
      </w:pPr>
    </w:p>
    <w:p>
      <w:pPr>
        <w:pStyle w:val="2"/>
        <w:rPr>
          <w:rFonts w:hint="default" w:ascii="Times New Roman" w:hAnsi="Times New Roman" w:eastAsia="楷体" w:cs="Times New Roman"/>
          <w:color w:val="000000"/>
          <w:spacing w:val="-20"/>
          <w:sz w:val="32"/>
          <w:szCs w:val="32"/>
        </w:rPr>
      </w:pPr>
    </w:p>
    <w:p>
      <w:pPr>
        <w:pStyle w:val="3"/>
        <w:rPr>
          <w:rFonts w:hint="default" w:ascii="Times New Roman" w:hAnsi="Times New Roman" w:eastAsia="楷体" w:cs="Times New Roman"/>
          <w:color w:val="000000"/>
          <w:spacing w:val="-20"/>
          <w:sz w:val="32"/>
          <w:szCs w:val="32"/>
        </w:rPr>
      </w:pPr>
    </w:p>
    <w:p>
      <w:pPr>
        <w:keepNext w:val="0"/>
        <w:keepLines w:val="0"/>
        <w:pageBreakBefore w:val="0"/>
        <w:widowControl w:val="0"/>
        <w:kinsoku/>
        <w:wordWrap/>
        <w:overflowPunct/>
        <w:topLinePunct w:val="0"/>
        <w:autoSpaceDE/>
        <w:autoSpaceDN/>
        <w:bidi w:val="0"/>
        <w:adjustRightInd/>
        <w:snapToGrid/>
        <w:spacing w:after="0" w:afterLines="0" w:line="580" w:lineRule="exact"/>
        <w:jc w:val="center"/>
        <w:textAlignment w:val="auto"/>
        <w:rPr>
          <w:rFonts w:hint="default" w:ascii="Times New Roman" w:hAnsi="Times New Roman" w:eastAsia="方正小标宋_GBK" w:cs="Times New Roman"/>
          <w:b/>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0" w:afterLines="0" w:line="580" w:lineRule="exact"/>
        <w:jc w:val="center"/>
        <w:textAlignment w:val="auto"/>
        <w:rPr>
          <w:rFonts w:hint="default" w:ascii="Times New Roman" w:hAnsi="Times New Roman" w:eastAsia="方正小标宋_GBK" w:cs="Times New Roman"/>
          <w:b/>
          <w:bCs/>
          <w:spacing w:val="-20"/>
          <w:sz w:val="44"/>
          <w:szCs w:val="44"/>
          <w:lang w:val="en-US" w:eastAsia="zh-CN"/>
        </w:rPr>
      </w:pPr>
      <w:r>
        <w:rPr>
          <w:rFonts w:hint="default" w:ascii="Times New Roman" w:hAnsi="Times New Roman" w:eastAsia="方正小标宋_GBK" w:cs="Times New Roman"/>
          <w:b/>
          <w:bCs/>
          <w:spacing w:val="-20"/>
          <w:sz w:val="44"/>
          <w:szCs w:val="44"/>
          <w:lang w:val="en-US" w:eastAsia="zh-CN"/>
        </w:rPr>
        <w:t>四川省交通运输综合行政执法总队第七支队第六大队副大队长冉坤简要事迹</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冉坤，男，35岁，中共党员，现任四川省交通运输综合行政执法总队第七支队六大队副大队长。自从事交通运输执法工作十多年以来，他就一直奋斗在基层执法工作第一线。工作上，他以身作则，率先垂范、“干”字当头;生活中,他更是吃苦在前，无私奉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作为一名基层执法者，他时刻牢记工作宗旨，忠实履行职责，把全身心投入到交通运输工作中。在他的带领下，六大队在应急处突、公路保通保畅、打非治违等方面做出</w:t>
      </w:r>
      <w:r>
        <w:rPr>
          <w:rFonts w:hint="eastAsia" w:eastAsia="仿宋_GB2312" w:cs="Times New Roman"/>
          <w:sz w:val="32"/>
          <w:szCs w:val="32"/>
          <w:lang w:eastAsia="zh-CN"/>
        </w:rPr>
        <w:t>了</w:t>
      </w:r>
      <w:r>
        <w:rPr>
          <w:rFonts w:hint="default" w:ascii="Times New Roman" w:hAnsi="Times New Roman" w:eastAsia="仿宋_GB2312" w:cs="Times New Roman"/>
          <w:sz w:val="32"/>
          <w:szCs w:val="32"/>
        </w:rPr>
        <w:t>显著成绩，特别是在2024年处理万源“2</w:t>
      </w:r>
      <w:r>
        <w:rPr>
          <w:rFonts w:hint="eastAsia" w:eastAsia="仿宋_GB2312" w:cs="Times New Roman"/>
          <w:sz w:val="32"/>
          <w:szCs w:val="32"/>
          <w:lang w:val="en-US" w:eastAsia="zh-CN"/>
        </w:rPr>
        <w:t>·</w:t>
      </w:r>
      <w:bookmarkStart w:id="0" w:name="_GoBack"/>
      <w:bookmarkEnd w:id="0"/>
      <w:r>
        <w:rPr>
          <w:rFonts w:hint="default" w:ascii="Times New Roman" w:hAnsi="Times New Roman" w:eastAsia="仿宋_GB2312" w:cs="Times New Roman"/>
          <w:sz w:val="32"/>
          <w:szCs w:val="32"/>
        </w:rPr>
        <w:t>21”低温雨雪冰冻灾害中获得中央电视台、省电视台的肯定和点赞。该同志先后被省交通运输厅评为“四川省交通运输法治政府部门建设优秀执法人员”、“交通运输行业技术能手”等称号。</w:t>
      </w:r>
    </w:p>
    <w:p>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default" w:ascii="Times New Roman" w:hAnsi="Times New Roman" w:eastAsia="方正小标宋_GBK" w:cs="Times New Roman"/>
          <w:b/>
          <w:bCs/>
          <w:spacing w:val="-20"/>
          <w:sz w:val="44"/>
          <w:szCs w:val="44"/>
          <w:lang w:val="en-US" w:eastAsia="zh-CN"/>
        </w:rPr>
      </w:pPr>
      <w:r>
        <w:rPr>
          <w:rFonts w:hint="default" w:ascii="Times New Roman" w:hAnsi="Times New Roman" w:eastAsia="方正小标宋简体" w:cs="Times New Roman"/>
          <w:kern w:val="2"/>
          <w:sz w:val="44"/>
          <w:szCs w:val="44"/>
          <w:lang w:val="en-US" w:eastAsia="zh-CN" w:bidi="ar"/>
        </w:rPr>
        <w:br w:type="page"/>
      </w:r>
      <w:r>
        <w:rPr>
          <w:rFonts w:hint="default" w:ascii="Times New Roman" w:hAnsi="Times New Roman" w:eastAsia="方正小标宋_GBK" w:cs="Times New Roman"/>
          <w:b/>
          <w:bCs/>
          <w:spacing w:val="-20"/>
          <w:sz w:val="44"/>
          <w:szCs w:val="44"/>
          <w:lang w:val="en-US" w:eastAsia="zh-CN"/>
        </w:rPr>
        <w:t>四川省交通运输政务服务窗口简要事迹</w:t>
      </w:r>
    </w:p>
    <w:p>
      <w:pPr>
        <w:snapToGrid w:val="0"/>
        <w:spacing w:line="560" w:lineRule="exact"/>
        <w:ind w:firstLine="640" w:firstLineChars="200"/>
        <w:contextualSpacing/>
        <w:rPr>
          <w:rFonts w:eastAsia="仿宋_GB2312"/>
          <w:bCs/>
          <w:sz w:val="32"/>
          <w:szCs w:val="32"/>
        </w:rPr>
      </w:pPr>
      <w:r>
        <w:rPr>
          <w:rFonts w:eastAsia="仿宋_GB2312"/>
          <w:bCs/>
          <w:sz w:val="32"/>
          <w:szCs w:val="32"/>
        </w:rPr>
        <w:t>四川省交通运输政务服务窗口认真贯彻习近平新时代中国特色社会主义思想和党的二十大精神，践行交通强省使命，彰显巾帼劳动风采，持续为企业群众提供优质、高效、便捷的政务服务，被交通运输部授予“全国交通运输行业文明示范窗口”，连续10年获评省级政务服务大厅先进窗口单位，荣获四川省十佳五一巾帼标兵岗等荣誉。</w:t>
      </w:r>
    </w:p>
    <w:p>
      <w:pPr>
        <w:snapToGrid w:val="0"/>
        <w:spacing w:line="560" w:lineRule="exact"/>
        <w:ind w:firstLine="640" w:firstLineChars="200"/>
        <w:contextualSpacing/>
        <w:rPr>
          <w:rFonts w:eastAsia="仿宋_GB2312"/>
          <w:bCs/>
          <w:sz w:val="32"/>
          <w:szCs w:val="32"/>
        </w:rPr>
      </w:pPr>
      <w:r>
        <w:rPr>
          <w:rFonts w:eastAsia="仿宋_GB2312"/>
          <w:bCs/>
          <w:sz w:val="32"/>
          <w:szCs w:val="32"/>
        </w:rPr>
        <w:t>争创佳绩，弘扬劳动精神。打造一流办件服务，依法依规高效办理118项政务服务事项，2023年累计办理申请28万件，日均办件量1000件以上，好评率100%；加强数字赋能，通过智能审批为运输企业累计“秒批秒办”3.8万余件，深受好评。坚持提能争优，展现劳动风采，在全省首届政务服务和公共资源交易服务技能大赛荣获省本级竞赛团体一等奖。</w:t>
      </w:r>
    </w:p>
    <w:p>
      <w:pPr>
        <w:snapToGrid w:val="0"/>
        <w:spacing w:line="560" w:lineRule="exact"/>
        <w:ind w:firstLine="640" w:firstLineChars="200"/>
        <w:contextualSpacing/>
        <w:rPr>
          <w:rFonts w:eastAsia="仿宋_GB2312"/>
          <w:bCs/>
          <w:sz w:val="32"/>
          <w:szCs w:val="32"/>
        </w:rPr>
      </w:pPr>
      <w:r>
        <w:rPr>
          <w:rFonts w:eastAsia="仿宋_GB2312"/>
          <w:bCs/>
          <w:sz w:val="32"/>
          <w:szCs w:val="32"/>
        </w:rPr>
        <w:t>服务发展，提供优质保障。落实交通强省战略，为公路水运项目提供</w:t>
      </w:r>
      <w:r>
        <w:rPr>
          <w:rFonts w:hint="eastAsia" w:eastAsia="仿宋_GB2312"/>
          <w:bCs/>
          <w:sz w:val="32"/>
          <w:szCs w:val="32"/>
          <w:lang w:eastAsia="zh-CN"/>
        </w:rPr>
        <w:t>便捷</w:t>
      </w:r>
      <w:r>
        <w:rPr>
          <w:rFonts w:eastAsia="仿宋_GB2312"/>
          <w:bCs/>
          <w:sz w:val="32"/>
          <w:szCs w:val="32"/>
        </w:rPr>
        <w:t>审批服务，2023年共有西香、康新、天眉乐等20余个高速公路项目40项行政审批进入重大项目专区办理，涉及投资约1100亿元；服务制造强省、工业兴省战略，加强大件运输许可服务，为国家重点铁路建设项目、夹金山隧道、川渝环网特高压输电工程、双江口水电站等提供优质运输保障。</w:t>
      </w:r>
    </w:p>
    <w:p>
      <w:pPr>
        <w:snapToGrid w:val="0"/>
        <w:spacing w:line="560" w:lineRule="exact"/>
        <w:ind w:firstLine="640" w:firstLineChars="200"/>
        <w:contextualSpacing/>
        <w:rPr>
          <w:rFonts w:hint="default" w:ascii="Times New Roman" w:hAnsi="Times New Roman" w:eastAsia="仿宋_GB2312" w:cs="Times New Roman"/>
          <w:sz w:val="32"/>
          <w:szCs w:val="32"/>
          <w:lang w:val="en-US" w:eastAsia="zh-CN"/>
        </w:rPr>
      </w:pPr>
      <w:r>
        <w:rPr>
          <w:rFonts w:eastAsia="仿宋_GB2312"/>
          <w:bCs/>
          <w:sz w:val="32"/>
          <w:szCs w:val="32"/>
        </w:rPr>
        <w:t>用心用情，办好群众实事。窗口始终保持饱满的工作热情，疫情期间、重大节假日坚守岗位，上岗服务准时，优质服务及时，预约服务按时，特殊服务延时，建设“清廉交通窗口”，耐心细致为群众提供各类文明规范服务，全年开展定制服务及专项培训114次，收到企业群众锦旗及感谢信9次。</w:t>
      </w:r>
    </w:p>
    <w:p/>
    <w:p/>
    <w:sectPr>
      <w:pgSz w:w="11906" w:h="16838"/>
      <w:pgMar w:top="1440" w:right="147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DczMzI3YjgxOWJmODc1MDNjMWI5ZGI2MmNjZWMifQ=="/>
  </w:docVars>
  <w:rsids>
    <w:rsidRoot w:val="64450DBC"/>
    <w:rsid w:val="517777B8"/>
    <w:rsid w:val="51FF0E2F"/>
    <w:rsid w:val="64450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方正小标宋简体" w:hAnsi="宋体" w:eastAsia="方正小标宋简体" w:cs="Times New Roman"/>
      <w:sz w:val="44"/>
      <w:szCs w:val="32"/>
    </w:r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4">
    <w:name w:val="index 5"/>
    <w:basedOn w:val="1"/>
    <w:next w:val="1"/>
    <w:qFormat/>
    <w:uiPriority w:val="0"/>
    <w:pPr>
      <w:ind w:left="800" w:leftChars="800"/>
    </w:pPr>
    <w:rPr>
      <w:rFonts w:ascii="Times New Roman" w:hAnsi="Times New Roman" w:eastAsia="宋体" w:cs="Times New Roman"/>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5"/>
    <w:next w:val="2"/>
    <w:qFormat/>
    <w:uiPriority w:val="0"/>
    <w:pPr>
      <w:spacing w:after="0" w:line="240" w:lineRule="auto"/>
      <w:ind w:left="0" w:leftChars="0"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2306</Words>
  <Characters>2380</Characters>
  <Lines>0</Lines>
  <Paragraphs>0</Paragraphs>
  <TotalTime>0</TotalTime>
  <ScaleCrop>false</ScaleCrop>
  <LinksUpToDate>false</LinksUpToDate>
  <CharactersWithSpaces>2382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2024-04-02T10:22:00Z</dcterms:created>
  <dc:creator>叶某人从不</dc:creator>
  <cp:lastModifiedBy>Lily</cp:lastModifiedBy>
  <dcterms:modified xsi:type="dcterms:W3CDTF">2024-06-14T09:17:15Z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32470A5C5588491381E86BF256C505C9_13</vt:lpwstr>
  </property>
</Properties>
</file>